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312" w:beforeLines="100" w:line="375" w:lineRule="atLeast"/>
        <w:jc w:val="center"/>
        <w:rPr>
          <w:rFonts w:ascii="方正小标宋_GBK" w:hAnsi="黑体" w:eastAsia="方正小标宋_GBK" w:cs="黑体"/>
          <w:kern w:val="0"/>
          <w:sz w:val="44"/>
          <w:szCs w:val="44"/>
        </w:rPr>
      </w:pPr>
      <w:r>
        <w:rPr>
          <w:rFonts w:hint="eastAsia" w:ascii="方正小标宋_GBK" w:hAnsi="黑体" w:eastAsia="方正小标宋_GBK" w:cs="黑体"/>
          <w:bCs/>
          <w:kern w:val="0"/>
          <w:sz w:val="44"/>
          <w:szCs w:val="44"/>
        </w:rPr>
        <w:t>第七次全国人口普查公报</w:t>
      </w:r>
      <w:r>
        <w:rPr>
          <w:rFonts w:hint="eastAsia" w:ascii="楷体_GB2312" w:hAnsi="楷体" w:eastAsia="楷体_GB2312" w:cs="楷体"/>
          <w:kern w:val="0"/>
          <w:sz w:val="32"/>
          <w:vertAlign w:val="superscript"/>
        </w:rPr>
        <w:t>[</w:t>
      </w:r>
      <w:r>
        <w:rPr>
          <w:rFonts w:ascii="楷体_GB2312" w:hAnsi="楷体" w:eastAsia="楷体_GB2312" w:cs="楷体"/>
          <w:kern w:val="0"/>
          <w:sz w:val="32"/>
          <w:vertAlign w:val="superscript"/>
        </w:rPr>
        <w:t>1]</w:t>
      </w:r>
      <w:r>
        <w:rPr>
          <w:rFonts w:hint="eastAsia" w:ascii="方正小标宋_GBK" w:hAnsi="黑体" w:eastAsia="方正小标宋_GBK" w:cs="黑体"/>
          <w:bCs/>
          <w:kern w:val="0"/>
          <w:sz w:val="44"/>
          <w:szCs w:val="44"/>
        </w:rPr>
        <w:t>（第五号）</w:t>
      </w:r>
    </w:p>
    <w:p>
      <w:pPr>
        <w:widowControl/>
        <w:spacing w:line="375" w:lineRule="atLeast"/>
        <w:jc w:val="center"/>
        <w:rPr>
          <w:rFonts w:ascii="方正小标宋_GBK" w:hAnsi="Times New Roman" w:eastAsia="方正小标宋_GBK"/>
          <w:kern w:val="0"/>
          <w:sz w:val="32"/>
          <w:szCs w:val="20"/>
        </w:rPr>
      </w:pPr>
      <w:r>
        <w:rPr>
          <w:rFonts w:hint="eastAsia" w:ascii="方正小标宋_GBK" w:hAnsi="Times New Roman" w:eastAsia="方正小标宋_GBK"/>
          <w:kern w:val="0"/>
          <w:sz w:val="32"/>
          <w:szCs w:val="20"/>
        </w:rPr>
        <w:t> ——人口受教育情况</w:t>
      </w:r>
    </w:p>
    <w:p>
      <w:pPr>
        <w:widowControl/>
        <w:spacing w:line="375" w:lineRule="atLeast"/>
        <w:jc w:val="center"/>
        <w:rPr>
          <w:rFonts w:ascii="楷体_GB2312" w:hAnsi="楷体" w:eastAsia="楷体_GB2312" w:cs="楷体"/>
          <w:kern w:val="0"/>
          <w:sz w:val="32"/>
        </w:rPr>
      </w:pPr>
      <w:r>
        <w:rPr>
          <w:rFonts w:hint="eastAsia" w:ascii="楷体_GB2312" w:hAnsi="楷体" w:eastAsia="楷体_GB2312" w:cs="楷体"/>
          <w:kern w:val="0"/>
          <w:sz w:val="32"/>
        </w:rPr>
        <w:t xml:space="preserve"> </w:t>
      </w:r>
    </w:p>
    <w:p>
      <w:pPr>
        <w:spacing w:before="312" w:beforeLines="100" w:line="200" w:lineRule="exact"/>
        <w:jc w:val="center"/>
        <w:rPr>
          <w:rFonts w:ascii="楷体_GB2312" w:hAnsi="楷体_GB2312" w:eastAsia="楷体_GB2312" w:cs="楷体_GB2312"/>
          <w:sz w:val="32"/>
          <w:szCs w:val="40"/>
        </w:rPr>
      </w:pPr>
      <w:r>
        <w:rPr>
          <w:rFonts w:hint="eastAsia" w:ascii="楷体_GB2312" w:hAnsi="楷体_GB2312" w:eastAsia="楷体_GB2312" w:cs="楷体_GB2312"/>
          <w:sz w:val="32"/>
          <w:szCs w:val="40"/>
        </w:rPr>
        <w:t>甘孜州统计局</w:t>
      </w:r>
    </w:p>
    <w:p>
      <w:pPr>
        <w:spacing w:before="312" w:beforeLines="100" w:line="200" w:lineRule="exact"/>
        <w:jc w:val="center"/>
        <w:rPr>
          <w:rFonts w:ascii="楷体_GB2312" w:hAnsi="楷体_GB2312" w:eastAsia="楷体_GB2312" w:cs="楷体_GB2312"/>
          <w:sz w:val="32"/>
          <w:szCs w:val="40"/>
        </w:rPr>
      </w:pPr>
      <w:r>
        <w:rPr>
          <w:rFonts w:hint="eastAsia" w:ascii="楷体_GB2312" w:hAnsi="楷体_GB2312" w:eastAsia="楷体_GB2312" w:cs="楷体_GB2312"/>
          <w:sz w:val="32"/>
          <w:szCs w:val="40"/>
        </w:rPr>
        <w:t>甘孜州第七次全国人口普查领导小组办公室</w:t>
      </w:r>
    </w:p>
    <w:p>
      <w:pPr>
        <w:widowControl/>
        <w:spacing w:line="600" w:lineRule="atLeast"/>
        <w:ind w:firstLine="640" w:firstLineChars="200"/>
        <w:jc w:val="center"/>
        <w:rPr>
          <w:rFonts w:ascii="楷体_GB2312" w:hAnsi="楷体_GB2312" w:eastAsia="楷体_GB2312" w:cs="楷体_GB2312"/>
          <w:kern w:val="0"/>
          <w:sz w:val="32"/>
        </w:rPr>
      </w:pPr>
      <w:r>
        <w:rPr>
          <w:rFonts w:hint="eastAsia" w:ascii="楷体_GB2312" w:hAnsi="楷体_GB2312" w:eastAsia="楷体_GB2312" w:cs="楷体_GB2312"/>
          <w:sz w:val="32"/>
          <w:szCs w:val="40"/>
        </w:rPr>
        <w:t>2021年6月 3日</w:t>
      </w:r>
    </w:p>
    <w:p>
      <w:pPr>
        <w:widowControl/>
        <w:spacing w:line="375" w:lineRule="atLeast"/>
        <w:ind w:firstLine="640" w:firstLineChars="200"/>
        <w:jc w:val="left"/>
        <w:rPr>
          <w:rFonts w:ascii="仿宋_GB2312" w:hAnsi="仿宋" w:eastAsia="仿宋_GB2312" w:cs="仿宋"/>
          <w:kern w:val="0"/>
          <w:sz w:val="32"/>
        </w:rPr>
      </w:pPr>
      <w:r>
        <w:rPr>
          <w:rFonts w:hint="eastAsia" w:ascii="仿宋_GB2312" w:hAnsi="仿宋" w:eastAsia="仿宋_GB2312" w:cs="仿宋"/>
          <w:kern w:val="0"/>
          <w:sz w:val="32"/>
        </w:rPr>
        <w:t>根据第七次全国人口普查结果，现将2020年11月1日零时全州及18个县（市）人口受教育基本情况公布如下：</w:t>
      </w:r>
    </w:p>
    <w:p>
      <w:pPr>
        <w:numPr>
          <w:ilvl w:val="0"/>
          <w:numId w:val="1"/>
        </w:num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受教育程度人口</w:t>
      </w:r>
    </w:p>
    <w:p>
      <w:pPr>
        <w:numPr>
          <w:numId w:val="0"/>
        </w:numPr>
        <w:spacing w:line="600" w:lineRule="exact"/>
        <w:ind w:firstLine="640" w:firstLineChars="200"/>
        <w:rPr>
          <w:rFonts w:ascii="仿宋_GB2312" w:hAnsi="宋体" w:eastAsia="仿宋_GB2312" w:cs="宋体"/>
          <w:color w:val="000000"/>
          <w:kern w:val="0"/>
          <w:sz w:val="32"/>
          <w:szCs w:val="32"/>
          <w:lang w:val="zh-CN"/>
        </w:rPr>
      </w:pPr>
      <w:bookmarkStart w:id="0" w:name="_GoBack"/>
      <w:bookmarkEnd w:id="0"/>
      <w:r>
        <w:rPr>
          <w:rFonts w:hint="eastAsia" w:ascii="仿宋_GB2312" w:hAnsi="仿宋" w:eastAsia="仿宋_GB2312" w:cs="仿宋_GB2312"/>
          <w:sz w:val="32"/>
          <w:szCs w:val="32"/>
        </w:rPr>
        <w:t>全州常住人口</w:t>
      </w:r>
      <w:r>
        <w:rPr>
          <w:rFonts w:hint="eastAsia" w:ascii="楷体_GB2312" w:hAnsi="楷体" w:eastAsia="楷体_GB2312" w:cs="楷体"/>
          <w:kern w:val="0"/>
          <w:sz w:val="32"/>
          <w:vertAlign w:val="superscript"/>
        </w:rPr>
        <w:t>[2</w:t>
      </w:r>
      <w:r>
        <w:rPr>
          <w:rFonts w:ascii="楷体_GB2312" w:hAnsi="楷体" w:eastAsia="楷体_GB2312" w:cs="楷体"/>
          <w:kern w:val="0"/>
          <w:sz w:val="32"/>
          <w:vertAlign w:val="superscript"/>
        </w:rPr>
        <w:t>]</w:t>
      </w:r>
      <w:r>
        <w:rPr>
          <w:rFonts w:hint="eastAsia" w:ascii="仿宋_GB2312" w:hAnsi="仿宋" w:eastAsia="仿宋_GB2312" w:cs="仿宋_GB2312"/>
          <w:sz w:val="32"/>
          <w:szCs w:val="32"/>
        </w:rPr>
        <w:t>中，拥有大学（指大专及以上）文化程度的人口为</w:t>
      </w:r>
      <w:r>
        <w:rPr>
          <w:rFonts w:hint="eastAsia" w:ascii="仿宋_GB2312" w:hAnsi="宋体" w:eastAsia="仿宋_GB2312"/>
          <w:spacing w:val="8"/>
          <w:sz w:val="32"/>
          <w:szCs w:val="32"/>
        </w:rPr>
        <w:t>116127</w:t>
      </w:r>
      <w:r>
        <w:rPr>
          <w:rFonts w:hint="eastAsia" w:ascii="仿宋_GB2312" w:hAnsi="仿宋" w:eastAsia="仿宋_GB2312" w:cs="仿宋_GB2312"/>
          <w:sz w:val="32"/>
          <w:szCs w:val="32"/>
        </w:rPr>
        <w:t>人；拥有高中（含中专）文化程度的人口为</w:t>
      </w:r>
      <w:r>
        <w:rPr>
          <w:rFonts w:hint="eastAsia" w:ascii="仿宋_GB2312" w:hAnsi="宋体" w:eastAsia="仿宋_GB2312"/>
          <w:spacing w:val="8"/>
          <w:sz w:val="32"/>
          <w:szCs w:val="32"/>
        </w:rPr>
        <w:t>80279</w:t>
      </w:r>
      <w:r>
        <w:rPr>
          <w:rFonts w:hint="eastAsia" w:ascii="仿宋_GB2312" w:hAnsi="仿宋" w:eastAsia="仿宋_GB2312" w:cs="仿宋_GB2312"/>
          <w:sz w:val="32"/>
          <w:szCs w:val="32"/>
        </w:rPr>
        <w:t>人；拥有初中文化程度的人口为</w:t>
      </w:r>
      <w:r>
        <w:rPr>
          <w:rFonts w:hint="eastAsia" w:ascii="仿宋_GB2312" w:hAnsi="宋体" w:eastAsia="仿宋_GB2312"/>
          <w:spacing w:val="8"/>
          <w:sz w:val="32"/>
          <w:szCs w:val="32"/>
        </w:rPr>
        <w:t>161716</w:t>
      </w:r>
      <w:r>
        <w:rPr>
          <w:rFonts w:hint="eastAsia" w:ascii="仿宋_GB2312" w:hAnsi="仿宋" w:eastAsia="仿宋_GB2312" w:cs="仿宋_GB2312"/>
          <w:sz w:val="32"/>
          <w:szCs w:val="32"/>
        </w:rPr>
        <w:t>人；拥有小学文化程度的人口为</w:t>
      </w:r>
      <w:r>
        <w:rPr>
          <w:rFonts w:hint="eastAsia" w:ascii="仿宋_GB2312" w:hAnsi="宋体" w:eastAsia="仿宋_GB2312"/>
          <w:spacing w:val="8"/>
          <w:sz w:val="32"/>
          <w:szCs w:val="32"/>
        </w:rPr>
        <w:t>430459</w:t>
      </w:r>
      <w:r>
        <w:rPr>
          <w:rFonts w:hint="eastAsia" w:ascii="仿宋_GB2312" w:hAnsi="仿宋" w:eastAsia="仿宋_GB2312" w:cs="仿宋_GB2312"/>
          <w:sz w:val="32"/>
          <w:szCs w:val="32"/>
        </w:rPr>
        <w:t>人（以上各种受教育程度的人包括各类学校的毕业生、肄业生和在校生）。与2010年第六次全国人口普查相比，</w:t>
      </w:r>
      <w:r>
        <w:rPr>
          <w:rFonts w:hint="eastAsia" w:ascii="仿宋_GB2312" w:hAnsi="宋体" w:eastAsia="仿宋_GB2312" w:cs="宋体"/>
          <w:color w:val="000000"/>
          <w:kern w:val="0"/>
          <w:sz w:val="32"/>
          <w:szCs w:val="32"/>
          <w:lang w:val="zh-CN"/>
        </w:rPr>
        <w:t xml:space="preserve">每10万人中具有大学程度的由 </w:t>
      </w:r>
      <w:r>
        <w:rPr>
          <w:rFonts w:hint="eastAsia" w:ascii="仿宋_GB2312" w:hAnsi="宋体" w:eastAsia="仿宋_GB2312" w:cs="宋体"/>
          <w:color w:val="000000"/>
          <w:kern w:val="0"/>
          <w:sz w:val="32"/>
          <w:szCs w:val="32"/>
        </w:rPr>
        <w:t>5760</w:t>
      </w:r>
      <w:r>
        <w:rPr>
          <w:rFonts w:hint="eastAsia" w:ascii="仿宋_GB2312" w:hAnsi="宋体" w:eastAsia="仿宋_GB2312" w:cs="宋体"/>
          <w:color w:val="000000"/>
          <w:kern w:val="0"/>
          <w:sz w:val="32"/>
          <w:szCs w:val="32"/>
          <w:lang w:val="zh-CN"/>
        </w:rPr>
        <w:t>人上升为</w:t>
      </w:r>
      <w:r>
        <w:rPr>
          <w:rFonts w:hint="eastAsia" w:ascii="仿宋_GB2312" w:hAnsi="宋体" w:eastAsia="仿宋_GB2312" w:cs="宋体"/>
          <w:color w:val="000000"/>
          <w:kern w:val="0"/>
          <w:sz w:val="32"/>
          <w:szCs w:val="32"/>
        </w:rPr>
        <w:t>10486</w:t>
      </w:r>
      <w:r>
        <w:rPr>
          <w:rFonts w:hint="eastAsia" w:ascii="仿宋_GB2312" w:hAnsi="宋体" w:eastAsia="仿宋_GB2312" w:cs="宋体"/>
          <w:color w:val="000000"/>
          <w:kern w:val="0"/>
          <w:sz w:val="32"/>
          <w:szCs w:val="32"/>
          <w:lang w:val="zh-CN"/>
        </w:rPr>
        <w:t>人；具有高中程度的由</w:t>
      </w:r>
      <w:r>
        <w:rPr>
          <w:rFonts w:hint="eastAsia" w:ascii="仿宋_GB2312" w:hAnsi="宋体" w:eastAsia="仿宋_GB2312" w:cs="宋体"/>
          <w:color w:val="000000"/>
          <w:kern w:val="0"/>
          <w:sz w:val="32"/>
          <w:szCs w:val="32"/>
        </w:rPr>
        <w:t>5989</w:t>
      </w:r>
      <w:r>
        <w:rPr>
          <w:rFonts w:hint="eastAsia" w:ascii="仿宋_GB2312" w:hAnsi="宋体" w:eastAsia="仿宋_GB2312" w:cs="宋体"/>
          <w:color w:val="000000"/>
          <w:kern w:val="0"/>
          <w:sz w:val="32"/>
          <w:szCs w:val="32"/>
          <w:lang w:val="zh-CN"/>
        </w:rPr>
        <w:t>人上升为</w:t>
      </w:r>
      <w:r>
        <w:rPr>
          <w:rFonts w:hint="eastAsia" w:ascii="仿宋_GB2312" w:hAnsi="宋体" w:eastAsia="仿宋_GB2312" w:cs="宋体"/>
          <w:color w:val="000000"/>
          <w:kern w:val="0"/>
          <w:sz w:val="32"/>
          <w:szCs w:val="32"/>
        </w:rPr>
        <w:t>7249</w:t>
      </w:r>
      <w:r>
        <w:rPr>
          <w:rFonts w:hint="eastAsia" w:ascii="仿宋_GB2312" w:hAnsi="宋体" w:eastAsia="仿宋_GB2312" w:cs="宋体"/>
          <w:color w:val="000000"/>
          <w:kern w:val="0"/>
          <w:sz w:val="32"/>
          <w:szCs w:val="32"/>
          <w:lang w:val="zh-CN"/>
        </w:rPr>
        <w:t>人；具有初中程度的由</w:t>
      </w:r>
      <w:r>
        <w:rPr>
          <w:rFonts w:hint="eastAsia" w:ascii="仿宋_GB2312" w:hAnsi="宋体" w:eastAsia="仿宋_GB2312" w:cs="宋体"/>
          <w:color w:val="000000"/>
          <w:kern w:val="0"/>
          <w:sz w:val="32"/>
          <w:szCs w:val="32"/>
        </w:rPr>
        <w:t>14004</w:t>
      </w:r>
      <w:r>
        <w:rPr>
          <w:rFonts w:hint="eastAsia" w:ascii="仿宋_GB2312" w:hAnsi="宋体" w:eastAsia="仿宋_GB2312" w:cs="宋体"/>
          <w:color w:val="000000"/>
          <w:kern w:val="0"/>
          <w:sz w:val="32"/>
          <w:szCs w:val="32"/>
          <w:lang w:val="zh-CN"/>
        </w:rPr>
        <w:t>人上升为</w:t>
      </w:r>
      <w:r>
        <w:rPr>
          <w:rFonts w:hint="eastAsia" w:ascii="仿宋_GB2312" w:hAnsi="宋体" w:eastAsia="仿宋_GB2312" w:cs="宋体"/>
          <w:color w:val="000000"/>
          <w:kern w:val="0"/>
          <w:sz w:val="32"/>
          <w:szCs w:val="32"/>
        </w:rPr>
        <w:t>14603</w:t>
      </w:r>
      <w:r>
        <w:rPr>
          <w:rFonts w:hint="eastAsia" w:ascii="仿宋_GB2312" w:hAnsi="宋体" w:eastAsia="仿宋_GB2312" w:cs="宋体"/>
          <w:color w:val="000000"/>
          <w:kern w:val="0"/>
          <w:sz w:val="32"/>
          <w:szCs w:val="32"/>
          <w:lang w:val="zh-CN"/>
        </w:rPr>
        <w:t>人；具有小学程度的由</w:t>
      </w:r>
      <w:r>
        <w:rPr>
          <w:rFonts w:hint="eastAsia" w:ascii="仿宋_GB2312" w:hAnsi="宋体" w:eastAsia="仿宋_GB2312" w:cs="宋体"/>
          <w:color w:val="000000"/>
          <w:kern w:val="0"/>
          <w:sz w:val="32"/>
          <w:szCs w:val="32"/>
        </w:rPr>
        <w:t>38483</w:t>
      </w:r>
      <w:r>
        <w:rPr>
          <w:rFonts w:hint="eastAsia" w:ascii="仿宋_GB2312" w:hAnsi="宋体" w:eastAsia="仿宋_GB2312" w:cs="宋体"/>
          <w:color w:val="000000"/>
          <w:kern w:val="0"/>
          <w:sz w:val="32"/>
          <w:szCs w:val="32"/>
          <w:lang w:val="zh-CN"/>
        </w:rPr>
        <w:t>人上升为</w:t>
      </w:r>
      <w:r>
        <w:rPr>
          <w:rFonts w:hint="eastAsia" w:ascii="仿宋_GB2312" w:hAnsi="宋体" w:eastAsia="仿宋_GB2312" w:cs="宋体"/>
          <w:color w:val="000000"/>
          <w:kern w:val="0"/>
          <w:sz w:val="32"/>
          <w:szCs w:val="32"/>
        </w:rPr>
        <w:t>38870</w:t>
      </w:r>
      <w:r>
        <w:rPr>
          <w:rFonts w:hint="eastAsia" w:ascii="仿宋_GB2312" w:hAnsi="宋体" w:eastAsia="仿宋_GB2312" w:cs="宋体"/>
          <w:color w:val="000000"/>
          <w:kern w:val="0"/>
          <w:sz w:val="32"/>
          <w:szCs w:val="32"/>
          <w:lang w:val="zh-CN"/>
        </w:rPr>
        <w:t>人。</w:t>
      </w:r>
    </w:p>
    <w:p>
      <w:pPr>
        <w:spacing w:line="600" w:lineRule="exact"/>
        <w:rPr>
          <w:rFonts w:ascii="仿宋_GB2312" w:hAnsi="仿宋" w:eastAsia="仿宋_GB2312" w:cs="仿宋_GB2312"/>
          <w:sz w:val="32"/>
          <w:szCs w:val="32"/>
        </w:rPr>
      </w:pPr>
    </w:p>
    <w:p>
      <w:pPr>
        <w:spacing w:line="600" w:lineRule="exact"/>
        <w:rPr>
          <w:rFonts w:ascii="仿宋_GB2312" w:hAnsi="仿宋" w:eastAsia="仿宋_GB2312" w:cs="仿宋_GB2312"/>
          <w:sz w:val="32"/>
          <w:szCs w:val="32"/>
        </w:rPr>
      </w:pPr>
    </w:p>
    <w:p>
      <w:pPr>
        <w:spacing w:line="600" w:lineRule="exact"/>
        <w:rPr>
          <w:rFonts w:ascii="仿宋_GB2312" w:hAnsi="仿宋" w:eastAsia="仿宋_GB2312" w:cs="仿宋_GB2312"/>
          <w:sz w:val="32"/>
          <w:szCs w:val="32"/>
        </w:rPr>
      </w:pPr>
    </w:p>
    <w:p>
      <w:pPr>
        <w:widowControl/>
        <w:spacing w:before="312" w:beforeLines="100" w:line="375" w:lineRule="atLeast"/>
        <w:jc w:val="center"/>
        <w:rPr>
          <w:rFonts w:ascii="黑体" w:hAnsi="黑体" w:eastAsia="黑体" w:cs="仿宋"/>
          <w:kern w:val="0"/>
          <w:sz w:val="24"/>
          <w:szCs w:val="28"/>
        </w:rPr>
      </w:pPr>
      <w:r>
        <w:rPr>
          <w:rFonts w:ascii="黑体" w:hAnsi="黑体" w:eastAsia="黑体" w:cs="仿宋"/>
          <w:kern w:val="0"/>
          <w:sz w:val="24"/>
          <w:szCs w:val="28"/>
        </w:rPr>
        <w:t>表</w:t>
      </w:r>
      <w:r>
        <w:rPr>
          <w:rFonts w:ascii="黑体" w:hAnsi="黑体" w:eastAsia="黑体" w:cs="仿宋"/>
          <w:kern w:val="0"/>
          <w:sz w:val="24"/>
          <w:szCs w:val="28"/>
          <w:lang w:val="en"/>
        </w:rPr>
        <w:t>5</w:t>
      </w:r>
      <w:r>
        <w:rPr>
          <w:rFonts w:hint="eastAsia" w:ascii="黑体" w:hAnsi="黑体" w:eastAsia="黑体" w:cs="仿宋"/>
          <w:kern w:val="0"/>
          <w:sz w:val="24"/>
          <w:szCs w:val="28"/>
        </w:rPr>
        <w:t>-</w:t>
      </w:r>
      <w:r>
        <w:rPr>
          <w:rFonts w:ascii="黑体" w:hAnsi="黑体" w:eastAsia="黑体" w:cs="仿宋"/>
          <w:kern w:val="0"/>
          <w:sz w:val="24"/>
          <w:szCs w:val="28"/>
        </w:rPr>
        <w:t xml:space="preserve">1 </w:t>
      </w:r>
      <w:r>
        <w:rPr>
          <w:rFonts w:hint="eastAsia" w:ascii="黑体" w:hAnsi="黑体" w:eastAsia="黑体" w:cs="仿宋"/>
          <w:kern w:val="0"/>
          <w:sz w:val="24"/>
          <w:szCs w:val="28"/>
        </w:rPr>
        <w:t>各县（市）每10万人口中拥有的各类</w:t>
      </w:r>
      <w:r>
        <w:rPr>
          <w:rFonts w:ascii="黑体" w:hAnsi="黑体" w:eastAsia="黑体" w:cs="仿宋"/>
          <w:kern w:val="0"/>
          <w:sz w:val="24"/>
          <w:szCs w:val="28"/>
        </w:rPr>
        <w:t>受教育程度</w:t>
      </w:r>
      <w:r>
        <w:rPr>
          <w:rFonts w:hint="eastAsia" w:ascii="黑体" w:hAnsi="黑体" w:eastAsia="黑体" w:cs="仿宋"/>
          <w:kern w:val="0"/>
          <w:sz w:val="24"/>
          <w:szCs w:val="28"/>
        </w:rPr>
        <w:t>人数</w:t>
      </w:r>
    </w:p>
    <w:p>
      <w:pPr>
        <w:widowControl/>
        <w:wordWrap w:val="0"/>
        <w:spacing w:line="375" w:lineRule="atLeast"/>
        <w:ind w:firstLine="640" w:firstLineChars="200"/>
        <w:jc w:val="right"/>
        <w:rPr>
          <w:rFonts w:ascii="仿宋_GB2312" w:hAnsi="仿宋" w:eastAsia="仿宋_GB2312" w:cs="仿宋"/>
          <w:kern w:val="0"/>
          <w:sz w:val="24"/>
          <w:szCs w:val="20"/>
        </w:rPr>
      </w:pPr>
      <w:r>
        <w:rPr>
          <w:rFonts w:hint="eastAsia" w:ascii="仿宋_GB2312" w:hAnsi="仿宋" w:eastAsia="仿宋_GB2312" w:cs="仿宋"/>
          <w:kern w:val="0"/>
          <w:sz w:val="32"/>
        </w:rPr>
        <w:t xml:space="preserve">                                </w:t>
      </w:r>
      <w:r>
        <w:rPr>
          <w:rFonts w:hint="eastAsia" w:ascii="仿宋_GB2312" w:hAnsi="仿宋" w:eastAsia="仿宋_GB2312" w:cs="仿宋"/>
          <w:kern w:val="0"/>
          <w:sz w:val="24"/>
          <w:szCs w:val="20"/>
        </w:rPr>
        <w:t xml:space="preserve">单位：人/10万人 </w:t>
      </w:r>
    </w:p>
    <w:tbl>
      <w:tblPr>
        <w:tblStyle w:val="5"/>
        <w:tblW w:w="8097" w:type="dxa"/>
        <w:jc w:val="center"/>
        <w:tblLayout w:type="fixed"/>
        <w:tblCellMar>
          <w:top w:w="0" w:type="dxa"/>
          <w:left w:w="0" w:type="dxa"/>
          <w:bottom w:w="0" w:type="dxa"/>
          <w:right w:w="0" w:type="dxa"/>
        </w:tblCellMar>
      </w:tblPr>
      <w:tblGrid>
        <w:gridCol w:w="2073"/>
        <w:gridCol w:w="1724"/>
        <w:gridCol w:w="1725"/>
        <w:gridCol w:w="1365"/>
        <w:gridCol w:w="1210"/>
      </w:tblGrid>
      <w:tr>
        <w:tblPrEx>
          <w:tblCellMar>
            <w:top w:w="0" w:type="dxa"/>
            <w:left w:w="0" w:type="dxa"/>
            <w:bottom w:w="0" w:type="dxa"/>
            <w:right w:w="0" w:type="dxa"/>
          </w:tblCellMar>
        </w:tblPrEx>
        <w:trPr>
          <w:trHeight w:val="20" w:hRule="atLeast"/>
          <w:jc w:val="center"/>
        </w:trPr>
        <w:tc>
          <w:tcPr>
            <w:tcW w:w="2073" w:type="dxa"/>
            <w:tcBorders>
              <w:top w:val="single" w:color="auto" w:sz="12" w:space="0"/>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lang w:bidi="ar"/>
              </w:rPr>
              <w:t>地区</w:t>
            </w:r>
          </w:p>
        </w:tc>
        <w:tc>
          <w:tcPr>
            <w:tcW w:w="1724" w:type="dxa"/>
            <w:tcBorders>
              <w:top w:val="single" w:color="auto" w:sz="12"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_GB2312" w:hAnsi="仿宋_GB2312" w:eastAsia="仿宋_GB2312" w:cs="仿宋_GB2312"/>
                <w:bCs/>
                <w:color w:val="000000"/>
                <w:kern w:val="0"/>
                <w:sz w:val="24"/>
                <w:szCs w:val="24"/>
                <w:lang w:bidi="ar"/>
              </w:rPr>
            </w:pPr>
            <w:r>
              <w:rPr>
                <w:rFonts w:hint="eastAsia" w:ascii="仿宋_GB2312" w:hAnsi="仿宋_GB2312" w:eastAsia="仿宋_GB2312" w:cs="仿宋_GB2312"/>
                <w:bCs/>
                <w:color w:val="000000"/>
                <w:kern w:val="0"/>
                <w:sz w:val="24"/>
                <w:szCs w:val="24"/>
                <w:lang w:bidi="ar"/>
              </w:rPr>
              <w:t>大学</w:t>
            </w:r>
          </w:p>
          <w:p>
            <w:pPr>
              <w:widowControl/>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lang w:bidi="ar"/>
              </w:rPr>
              <w:t>（大专及以上）</w:t>
            </w:r>
          </w:p>
        </w:tc>
        <w:tc>
          <w:tcPr>
            <w:tcW w:w="1725" w:type="dxa"/>
            <w:tcBorders>
              <w:top w:val="single" w:color="auto" w:sz="12"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_GB2312" w:hAnsi="仿宋_GB2312" w:eastAsia="仿宋_GB2312" w:cs="仿宋_GB2312"/>
                <w:bCs/>
                <w:color w:val="000000"/>
                <w:kern w:val="0"/>
                <w:sz w:val="24"/>
                <w:szCs w:val="24"/>
                <w:lang w:bidi="ar"/>
              </w:rPr>
            </w:pPr>
            <w:r>
              <w:rPr>
                <w:rFonts w:hint="eastAsia" w:ascii="仿宋_GB2312" w:hAnsi="仿宋_GB2312" w:eastAsia="仿宋_GB2312" w:cs="仿宋_GB2312"/>
                <w:bCs/>
                <w:color w:val="000000"/>
                <w:kern w:val="0"/>
                <w:sz w:val="24"/>
                <w:szCs w:val="24"/>
                <w:lang w:bidi="ar"/>
              </w:rPr>
              <w:t>高中</w:t>
            </w:r>
          </w:p>
          <w:p>
            <w:pPr>
              <w:widowControl/>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lang w:bidi="ar"/>
              </w:rPr>
              <w:t>（含中专）</w:t>
            </w:r>
          </w:p>
        </w:tc>
        <w:tc>
          <w:tcPr>
            <w:tcW w:w="1365" w:type="dxa"/>
            <w:tcBorders>
              <w:top w:val="single" w:color="auto" w:sz="12"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lang w:bidi="ar"/>
              </w:rPr>
              <w:t>初中</w:t>
            </w:r>
          </w:p>
        </w:tc>
        <w:tc>
          <w:tcPr>
            <w:tcW w:w="1210" w:type="dxa"/>
            <w:tcBorders>
              <w:top w:val="single" w:color="auto" w:sz="12" w:space="0"/>
              <w:left w:val="single" w:color="auto" w:sz="4" w:space="0"/>
              <w:bottom w:val="single" w:color="auto" w:sz="4" w:space="0"/>
              <w:right w:val="nil"/>
            </w:tcBorders>
            <w:shd w:val="clear" w:color="auto" w:fill="auto"/>
            <w:tcMar>
              <w:top w:w="15" w:type="dxa"/>
              <w:left w:w="15" w:type="dxa"/>
              <w:right w:w="15" w:type="dxa"/>
            </w:tcMar>
            <w:vAlign w:val="center"/>
          </w:tcPr>
          <w:p>
            <w:pPr>
              <w:widowControl/>
              <w:jc w:val="center"/>
              <w:textAlignment w:val="center"/>
              <w:rPr>
                <w:rFonts w:ascii="仿宋_GB2312" w:hAnsi="仿宋_GB2312" w:eastAsia="仿宋_GB2312" w:cs="仿宋_GB2312"/>
                <w:bCs/>
                <w:color w:val="000000"/>
                <w:sz w:val="24"/>
                <w:szCs w:val="24"/>
              </w:rPr>
            </w:pPr>
            <w:r>
              <w:rPr>
                <w:rFonts w:hint="eastAsia" w:ascii="仿宋_GB2312" w:hAnsi="仿宋_GB2312" w:eastAsia="仿宋_GB2312" w:cs="仿宋_GB2312"/>
                <w:bCs/>
                <w:color w:val="000000"/>
                <w:kern w:val="0"/>
                <w:sz w:val="24"/>
                <w:szCs w:val="24"/>
                <w:lang w:bidi="ar"/>
              </w:rPr>
              <w:t>小学</w:t>
            </w:r>
          </w:p>
        </w:tc>
      </w:tr>
      <w:tr>
        <w:tblPrEx>
          <w:tblCellMar>
            <w:top w:w="0" w:type="dxa"/>
            <w:left w:w="0" w:type="dxa"/>
            <w:bottom w:w="0" w:type="dxa"/>
            <w:right w:w="0" w:type="dxa"/>
          </w:tblCellMar>
        </w:tblPrEx>
        <w:trPr>
          <w:trHeight w:val="454" w:hRule="exact"/>
          <w:jc w:val="center"/>
        </w:trPr>
        <w:tc>
          <w:tcPr>
            <w:tcW w:w="2073" w:type="dxa"/>
            <w:tcBorders>
              <w:top w:val="single" w:color="auto" w:sz="4" w:space="0"/>
              <w:left w:val="nil"/>
              <w:bottom w:val="nil"/>
              <w:right w:val="single" w:color="auto" w:sz="4" w:space="0"/>
            </w:tcBorders>
            <w:shd w:val="clear" w:color="auto" w:fill="auto"/>
            <w:tcMar>
              <w:top w:w="15" w:type="dxa"/>
              <w:left w:w="15" w:type="dxa"/>
              <w:right w:w="15" w:type="dxa"/>
            </w:tcMar>
            <w:vAlign w:val="center"/>
          </w:tcPr>
          <w:p>
            <w:pPr>
              <w:widowControl/>
              <w:ind w:firstLine="441" w:firstLineChars="200"/>
              <w:textAlignment w:val="center"/>
              <w:rPr>
                <w:rFonts w:asciiTheme="minorEastAsia" w:hAnsiTheme="minorEastAsia" w:eastAsiaTheme="minorEastAsia" w:cstheme="minorEastAsia"/>
                <w:b/>
                <w:bCs/>
                <w:color w:val="000000"/>
                <w:sz w:val="22"/>
              </w:rPr>
            </w:pPr>
            <w:r>
              <w:rPr>
                <w:rFonts w:hint="eastAsia" w:asciiTheme="minorEastAsia" w:hAnsiTheme="minorEastAsia" w:eastAsiaTheme="minorEastAsia" w:cstheme="minorEastAsia"/>
                <w:b/>
                <w:bCs/>
                <w:color w:val="000000"/>
                <w:kern w:val="0"/>
                <w:sz w:val="22"/>
                <w:lang w:bidi="ar"/>
              </w:rPr>
              <w:t>全  州</w:t>
            </w:r>
          </w:p>
        </w:tc>
        <w:tc>
          <w:tcPr>
            <w:tcW w:w="1724" w:type="dxa"/>
            <w:tcBorders>
              <w:top w:val="single" w:color="auto" w:sz="4" w:space="0"/>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10486</w:t>
            </w:r>
          </w:p>
        </w:tc>
        <w:tc>
          <w:tcPr>
            <w:tcW w:w="1725" w:type="dxa"/>
            <w:tcBorders>
              <w:top w:val="single" w:color="auto" w:sz="4" w:space="0"/>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7249</w:t>
            </w:r>
          </w:p>
        </w:tc>
        <w:tc>
          <w:tcPr>
            <w:tcW w:w="1365" w:type="dxa"/>
            <w:tcBorders>
              <w:top w:val="single" w:color="auto" w:sz="4" w:space="0"/>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14603</w:t>
            </w:r>
          </w:p>
        </w:tc>
        <w:tc>
          <w:tcPr>
            <w:tcW w:w="1210" w:type="dxa"/>
            <w:tcBorders>
              <w:top w:val="single" w:color="auto" w:sz="4" w:space="0"/>
              <w:left w:val="single" w:color="auto" w:sz="4" w:space="0"/>
              <w:bottom w:val="nil"/>
              <w:right w:val="nil"/>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38870</w:t>
            </w:r>
          </w:p>
        </w:tc>
      </w:tr>
      <w:tr>
        <w:tblPrEx>
          <w:tblCellMar>
            <w:top w:w="0" w:type="dxa"/>
            <w:left w:w="0" w:type="dxa"/>
            <w:bottom w:w="0" w:type="dxa"/>
            <w:right w:w="0" w:type="dxa"/>
          </w:tblCellMar>
        </w:tblPrEx>
        <w:trPr>
          <w:trHeight w:val="454" w:hRule="exact"/>
          <w:jc w:val="center"/>
        </w:trPr>
        <w:tc>
          <w:tcPr>
            <w:tcW w:w="2073" w:type="dxa"/>
            <w:tcBorders>
              <w:top w:val="nil"/>
              <w:left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b/>
                <w:bCs/>
                <w:color w:val="000000"/>
                <w:kern w:val="0"/>
                <w:sz w:val="22"/>
                <w:lang w:bidi="ar"/>
              </w:rPr>
            </w:pPr>
            <w:r>
              <w:rPr>
                <w:rFonts w:hint="eastAsia" w:asciiTheme="minorEastAsia" w:hAnsiTheme="minorEastAsia" w:eastAsiaTheme="minorEastAsia" w:cstheme="minorEastAsia"/>
                <w:color w:val="000000"/>
                <w:kern w:val="0"/>
                <w:sz w:val="22"/>
                <w:lang w:bidi="ar"/>
              </w:rPr>
              <w:t>康定市</w:t>
            </w:r>
          </w:p>
        </w:tc>
        <w:tc>
          <w:tcPr>
            <w:tcW w:w="1724"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23496</w:t>
            </w:r>
          </w:p>
        </w:tc>
        <w:tc>
          <w:tcPr>
            <w:tcW w:w="172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13229</w:t>
            </w:r>
          </w:p>
        </w:tc>
        <w:tc>
          <w:tcPr>
            <w:tcW w:w="136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18019</w:t>
            </w:r>
          </w:p>
        </w:tc>
        <w:tc>
          <w:tcPr>
            <w:tcW w:w="1210" w:type="dxa"/>
            <w:tcBorders>
              <w:top w:val="nil"/>
              <w:left w:val="single" w:color="auto" w:sz="4" w:space="0"/>
              <w:bottom w:val="nil"/>
              <w:right w:val="nil"/>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25125</w:t>
            </w:r>
          </w:p>
        </w:tc>
      </w:tr>
      <w:tr>
        <w:tblPrEx>
          <w:tblCellMar>
            <w:top w:w="0" w:type="dxa"/>
            <w:left w:w="0" w:type="dxa"/>
            <w:bottom w:w="0" w:type="dxa"/>
            <w:right w:w="0" w:type="dxa"/>
          </w:tblCellMar>
        </w:tblPrEx>
        <w:trPr>
          <w:trHeight w:val="454" w:hRule="exact"/>
          <w:jc w:val="center"/>
        </w:trPr>
        <w:tc>
          <w:tcPr>
            <w:tcW w:w="2073" w:type="dxa"/>
            <w:tcBorders>
              <w:top w:val="nil"/>
              <w:left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泸定县</w:t>
            </w:r>
          </w:p>
        </w:tc>
        <w:tc>
          <w:tcPr>
            <w:tcW w:w="1724"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13543</w:t>
            </w:r>
          </w:p>
        </w:tc>
        <w:tc>
          <w:tcPr>
            <w:tcW w:w="172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18138</w:t>
            </w:r>
          </w:p>
        </w:tc>
        <w:tc>
          <w:tcPr>
            <w:tcW w:w="136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30780</w:t>
            </w:r>
          </w:p>
        </w:tc>
        <w:tc>
          <w:tcPr>
            <w:tcW w:w="1210" w:type="dxa"/>
            <w:tcBorders>
              <w:top w:val="nil"/>
              <w:left w:val="single" w:color="auto" w:sz="4" w:space="0"/>
              <w:bottom w:val="nil"/>
              <w:right w:val="nil"/>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27693</w:t>
            </w:r>
          </w:p>
        </w:tc>
      </w:tr>
      <w:tr>
        <w:tblPrEx>
          <w:tblCellMar>
            <w:top w:w="0" w:type="dxa"/>
            <w:left w:w="0" w:type="dxa"/>
            <w:bottom w:w="0" w:type="dxa"/>
            <w:right w:w="0" w:type="dxa"/>
          </w:tblCellMar>
        </w:tblPrEx>
        <w:trPr>
          <w:trHeight w:val="454" w:hRule="exact"/>
          <w:jc w:val="center"/>
        </w:trPr>
        <w:tc>
          <w:tcPr>
            <w:tcW w:w="2073" w:type="dxa"/>
            <w:tcBorders>
              <w:top w:val="nil"/>
              <w:left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丹巴县</w:t>
            </w:r>
          </w:p>
        </w:tc>
        <w:tc>
          <w:tcPr>
            <w:tcW w:w="1724"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14768</w:t>
            </w:r>
          </w:p>
        </w:tc>
        <w:tc>
          <w:tcPr>
            <w:tcW w:w="172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8921</w:t>
            </w:r>
          </w:p>
        </w:tc>
        <w:tc>
          <w:tcPr>
            <w:tcW w:w="136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25018</w:t>
            </w:r>
          </w:p>
        </w:tc>
        <w:tc>
          <w:tcPr>
            <w:tcW w:w="1210" w:type="dxa"/>
            <w:tcBorders>
              <w:top w:val="nil"/>
              <w:left w:val="single" w:color="auto" w:sz="4" w:space="0"/>
              <w:bottom w:val="nil"/>
              <w:right w:val="nil"/>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36570</w:t>
            </w:r>
          </w:p>
        </w:tc>
      </w:tr>
      <w:tr>
        <w:tblPrEx>
          <w:tblCellMar>
            <w:top w:w="0" w:type="dxa"/>
            <w:left w:w="0" w:type="dxa"/>
            <w:bottom w:w="0" w:type="dxa"/>
            <w:right w:w="0" w:type="dxa"/>
          </w:tblCellMar>
        </w:tblPrEx>
        <w:trPr>
          <w:trHeight w:val="454" w:hRule="exact"/>
          <w:jc w:val="center"/>
        </w:trPr>
        <w:tc>
          <w:tcPr>
            <w:tcW w:w="2073" w:type="dxa"/>
            <w:tcBorders>
              <w:top w:val="nil"/>
              <w:left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九龙县</w:t>
            </w:r>
          </w:p>
        </w:tc>
        <w:tc>
          <w:tcPr>
            <w:tcW w:w="1724"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13735</w:t>
            </w:r>
          </w:p>
        </w:tc>
        <w:tc>
          <w:tcPr>
            <w:tcW w:w="172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7845</w:t>
            </w:r>
          </w:p>
        </w:tc>
        <w:tc>
          <w:tcPr>
            <w:tcW w:w="136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17459</w:t>
            </w:r>
          </w:p>
        </w:tc>
        <w:tc>
          <w:tcPr>
            <w:tcW w:w="1210" w:type="dxa"/>
            <w:tcBorders>
              <w:top w:val="nil"/>
              <w:left w:val="single" w:color="auto" w:sz="4" w:space="0"/>
              <w:bottom w:val="nil"/>
              <w:right w:val="nil"/>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36685</w:t>
            </w:r>
          </w:p>
        </w:tc>
      </w:tr>
      <w:tr>
        <w:tblPrEx>
          <w:tblCellMar>
            <w:top w:w="0" w:type="dxa"/>
            <w:left w:w="0" w:type="dxa"/>
            <w:bottom w:w="0" w:type="dxa"/>
            <w:right w:w="0" w:type="dxa"/>
          </w:tblCellMar>
        </w:tblPrEx>
        <w:trPr>
          <w:trHeight w:val="454" w:hRule="exact"/>
          <w:jc w:val="center"/>
        </w:trPr>
        <w:tc>
          <w:tcPr>
            <w:tcW w:w="2073" w:type="dxa"/>
            <w:tcBorders>
              <w:top w:val="nil"/>
              <w:left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雅江县</w:t>
            </w:r>
          </w:p>
        </w:tc>
        <w:tc>
          <w:tcPr>
            <w:tcW w:w="1724"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11284</w:t>
            </w:r>
          </w:p>
        </w:tc>
        <w:tc>
          <w:tcPr>
            <w:tcW w:w="172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7156</w:t>
            </w:r>
          </w:p>
        </w:tc>
        <w:tc>
          <w:tcPr>
            <w:tcW w:w="136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15594</w:t>
            </w:r>
          </w:p>
        </w:tc>
        <w:tc>
          <w:tcPr>
            <w:tcW w:w="1210" w:type="dxa"/>
            <w:tcBorders>
              <w:top w:val="nil"/>
              <w:left w:val="single" w:color="auto" w:sz="4" w:space="0"/>
              <w:bottom w:val="nil"/>
              <w:right w:val="nil"/>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29444</w:t>
            </w:r>
          </w:p>
        </w:tc>
      </w:tr>
      <w:tr>
        <w:tblPrEx>
          <w:tblCellMar>
            <w:top w:w="0" w:type="dxa"/>
            <w:left w:w="0" w:type="dxa"/>
            <w:bottom w:w="0" w:type="dxa"/>
            <w:right w:w="0" w:type="dxa"/>
          </w:tblCellMar>
        </w:tblPrEx>
        <w:trPr>
          <w:trHeight w:val="454" w:hRule="exact"/>
          <w:jc w:val="center"/>
        </w:trPr>
        <w:tc>
          <w:tcPr>
            <w:tcW w:w="2073" w:type="dxa"/>
            <w:tcBorders>
              <w:top w:val="nil"/>
              <w:left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道孚县</w:t>
            </w:r>
          </w:p>
        </w:tc>
        <w:tc>
          <w:tcPr>
            <w:tcW w:w="1724"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11360</w:t>
            </w:r>
          </w:p>
        </w:tc>
        <w:tc>
          <w:tcPr>
            <w:tcW w:w="172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10167</w:t>
            </w:r>
          </w:p>
        </w:tc>
        <w:tc>
          <w:tcPr>
            <w:tcW w:w="136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20626</w:t>
            </w:r>
          </w:p>
        </w:tc>
        <w:tc>
          <w:tcPr>
            <w:tcW w:w="1210" w:type="dxa"/>
            <w:tcBorders>
              <w:top w:val="nil"/>
              <w:left w:val="single" w:color="auto" w:sz="4" w:space="0"/>
              <w:bottom w:val="nil"/>
              <w:right w:val="nil"/>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34732</w:t>
            </w:r>
          </w:p>
        </w:tc>
      </w:tr>
      <w:tr>
        <w:tblPrEx>
          <w:tblCellMar>
            <w:top w:w="0" w:type="dxa"/>
            <w:left w:w="0" w:type="dxa"/>
            <w:bottom w:w="0" w:type="dxa"/>
            <w:right w:w="0" w:type="dxa"/>
          </w:tblCellMar>
        </w:tblPrEx>
        <w:trPr>
          <w:trHeight w:val="454" w:hRule="exact"/>
          <w:jc w:val="center"/>
        </w:trPr>
        <w:tc>
          <w:tcPr>
            <w:tcW w:w="2073" w:type="dxa"/>
            <w:tcBorders>
              <w:top w:val="nil"/>
              <w:left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炉霍县</w:t>
            </w:r>
          </w:p>
        </w:tc>
        <w:tc>
          <w:tcPr>
            <w:tcW w:w="1724"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9467</w:t>
            </w:r>
          </w:p>
        </w:tc>
        <w:tc>
          <w:tcPr>
            <w:tcW w:w="172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5953</w:t>
            </w:r>
          </w:p>
        </w:tc>
        <w:tc>
          <w:tcPr>
            <w:tcW w:w="136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13163</w:t>
            </w:r>
          </w:p>
        </w:tc>
        <w:tc>
          <w:tcPr>
            <w:tcW w:w="1210" w:type="dxa"/>
            <w:tcBorders>
              <w:top w:val="nil"/>
              <w:left w:val="single" w:color="auto" w:sz="4" w:space="0"/>
              <w:bottom w:val="nil"/>
              <w:right w:val="nil"/>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38362</w:t>
            </w:r>
          </w:p>
        </w:tc>
      </w:tr>
      <w:tr>
        <w:tblPrEx>
          <w:tblCellMar>
            <w:top w:w="0" w:type="dxa"/>
            <w:left w:w="0" w:type="dxa"/>
            <w:bottom w:w="0" w:type="dxa"/>
            <w:right w:w="0" w:type="dxa"/>
          </w:tblCellMar>
        </w:tblPrEx>
        <w:trPr>
          <w:trHeight w:val="454" w:hRule="exact"/>
          <w:jc w:val="center"/>
        </w:trPr>
        <w:tc>
          <w:tcPr>
            <w:tcW w:w="2073" w:type="dxa"/>
            <w:tcBorders>
              <w:top w:val="nil"/>
              <w:left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甘孜县</w:t>
            </w:r>
          </w:p>
        </w:tc>
        <w:tc>
          <w:tcPr>
            <w:tcW w:w="1724"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6685</w:t>
            </w:r>
          </w:p>
        </w:tc>
        <w:tc>
          <w:tcPr>
            <w:tcW w:w="172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5920</w:t>
            </w:r>
          </w:p>
        </w:tc>
        <w:tc>
          <w:tcPr>
            <w:tcW w:w="136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9476</w:t>
            </w:r>
          </w:p>
        </w:tc>
        <w:tc>
          <w:tcPr>
            <w:tcW w:w="1210" w:type="dxa"/>
            <w:tcBorders>
              <w:top w:val="nil"/>
              <w:left w:val="single" w:color="auto" w:sz="4" w:space="0"/>
              <w:bottom w:val="nil"/>
              <w:right w:val="nil"/>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40682</w:t>
            </w:r>
          </w:p>
        </w:tc>
      </w:tr>
      <w:tr>
        <w:tblPrEx>
          <w:tblCellMar>
            <w:top w:w="0" w:type="dxa"/>
            <w:left w:w="0" w:type="dxa"/>
            <w:bottom w:w="0" w:type="dxa"/>
            <w:right w:w="0" w:type="dxa"/>
          </w:tblCellMar>
        </w:tblPrEx>
        <w:trPr>
          <w:trHeight w:val="454" w:hRule="exact"/>
          <w:jc w:val="center"/>
        </w:trPr>
        <w:tc>
          <w:tcPr>
            <w:tcW w:w="2073" w:type="dxa"/>
            <w:tcBorders>
              <w:top w:val="nil"/>
              <w:left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新龙县</w:t>
            </w:r>
          </w:p>
        </w:tc>
        <w:tc>
          <w:tcPr>
            <w:tcW w:w="1724"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7836</w:t>
            </w:r>
          </w:p>
        </w:tc>
        <w:tc>
          <w:tcPr>
            <w:tcW w:w="172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3011</w:t>
            </w:r>
          </w:p>
        </w:tc>
        <w:tc>
          <w:tcPr>
            <w:tcW w:w="136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10985</w:t>
            </w:r>
          </w:p>
        </w:tc>
        <w:tc>
          <w:tcPr>
            <w:tcW w:w="1210" w:type="dxa"/>
            <w:tcBorders>
              <w:top w:val="nil"/>
              <w:left w:val="single" w:color="auto" w:sz="4" w:space="0"/>
              <w:bottom w:val="nil"/>
              <w:right w:val="nil"/>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47921</w:t>
            </w:r>
          </w:p>
        </w:tc>
      </w:tr>
      <w:tr>
        <w:tblPrEx>
          <w:tblCellMar>
            <w:top w:w="0" w:type="dxa"/>
            <w:left w:w="0" w:type="dxa"/>
            <w:bottom w:w="0" w:type="dxa"/>
            <w:right w:w="0" w:type="dxa"/>
          </w:tblCellMar>
        </w:tblPrEx>
        <w:trPr>
          <w:trHeight w:val="454" w:hRule="exact"/>
          <w:jc w:val="center"/>
        </w:trPr>
        <w:tc>
          <w:tcPr>
            <w:tcW w:w="2073" w:type="dxa"/>
            <w:tcBorders>
              <w:top w:val="nil"/>
              <w:left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德格县</w:t>
            </w:r>
          </w:p>
        </w:tc>
        <w:tc>
          <w:tcPr>
            <w:tcW w:w="1724"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4300</w:t>
            </w:r>
          </w:p>
        </w:tc>
        <w:tc>
          <w:tcPr>
            <w:tcW w:w="172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2817</w:t>
            </w:r>
          </w:p>
        </w:tc>
        <w:tc>
          <w:tcPr>
            <w:tcW w:w="136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7998</w:t>
            </w:r>
          </w:p>
        </w:tc>
        <w:tc>
          <w:tcPr>
            <w:tcW w:w="1210" w:type="dxa"/>
            <w:tcBorders>
              <w:top w:val="nil"/>
              <w:left w:val="single" w:color="auto" w:sz="4" w:space="0"/>
              <w:bottom w:val="nil"/>
              <w:right w:val="nil"/>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46140</w:t>
            </w:r>
          </w:p>
        </w:tc>
      </w:tr>
      <w:tr>
        <w:tblPrEx>
          <w:tblCellMar>
            <w:top w:w="0" w:type="dxa"/>
            <w:left w:w="0" w:type="dxa"/>
            <w:bottom w:w="0" w:type="dxa"/>
            <w:right w:w="0" w:type="dxa"/>
          </w:tblCellMar>
        </w:tblPrEx>
        <w:trPr>
          <w:trHeight w:val="454" w:hRule="exact"/>
          <w:jc w:val="center"/>
        </w:trPr>
        <w:tc>
          <w:tcPr>
            <w:tcW w:w="2073" w:type="dxa"/>
            <w:tcBorders>
              <w:top w:val="nil"/>
              <w:left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白玉县</w:t>
            </w:r>
          </w:p>
        </w:tc>
        <w:tc>
          <w:tcPr>
            <w:tcW w:w="1724"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4939</w:t>
            </w:r>
          </w:p>
        </w:tc>
        <w:tc>
          <w:tcPr>
            <w:tcW w:w="172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3165</w:t>
            </w:r>
          </w:p>
        </w:tc>
        <w:tc>
          <w:tcPr>
            <w:tcW w:w="136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6821</w:t>
            </w:r>
          </w:p>
        </w:tc>
        <w:tc>
          <w:tcPr>
            <w:tcW w:w="1210" w:type="dxa"/>
            <w:tcBorders>
              <w:top w:val="nil"/>
              <w:left w:val="single" w:color="auto" w:sz="4" w:space="0"/>
              <w:bottom w:val="nil"/>
              <w:right w:val="nil"/>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60722</w:t>
            </w:r>
          </w:p>
        </w:tc>
      </w:tr>
      <w:tr>
        <w:tblPrEx>
          <w:tblCellMar>
            <w:top w:w="0" w:type="dxa"/>
            <w:left w:w="0" w:type="dxa"/>
            <w:bottom w:w="0" w:type="dxa"/>
            <w:right w:w="0" w:type="dxa"/>
          </w:tblCellMar>
        </w:tblPrEx>
        <w:trPr>
          <w:trHeight w:val="454" w:hRule="exact"/>
          <w:jc w:val="center"/>
        </w:trPr>
        <w:tc>
          <w:tcPr>
            <w:tcW w:w="2073" w:type="dxa"/>
            <w:tcBorders>
              <w:top w:val="nil"/>
              <w:left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石渠县</w:t>
            </w:r>
          </w:p>
        </w:tc>
        <w:tc>
          <w:tcPr>
            <w:tcW w:w="1724"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3692</w:t>
            </w:r>
          </w:p>
        </w:tc>
        <w:tc>
          <w:tcPr>
            <w:tcW w:w="172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2916</w:t>
            </w:r>
          </w:p>
        </w:tc>
        <w:tc>
          <w:tcPr>
            <w:tcW w:w="136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7758</w:t>
            </w:r>
          </w:p>
        </w:tc>
        <w:tc>
          <w:tcPr>
            <w:tcW w:w="1210" w:type="dxa"/>
            <w:tcBorders>
              <w:top w:val="nil"/>
              <w:left w:val="single" w:color="auto" w:sz="4" w:space="0"/>
              <w:bottom w:val="nil"/>
              <w:right w:val="nil"/>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49276</w:t>
            </w:r>
          </w:p>
        </w:tc>
      </w:tr>
      <w:tr>
        <w:tblPrEx>
          <w:tblCellMar>
            <w:top w:w="0" w:type="dxa"/>
            <w:left w:w="0" w:type="dxa"/>
            <w:bottom w:w="0" w:type="dxa"/>
            <w:right w:w="0" w:type="dxa"/>
          </w:tblCellMar>
        </w:tblPrEx>
        <w:trPr>
          <w:trHeight w:val="454" w:hRule="exact"/>
          <w:jc w:val="center"/>
        </w:trPr>
        <w:tc>
          <w:tcPr>
            <w:tcW w:w="2073" w:type="dxa"/>
            <w:tcBorders>
              <w:top w:val="nil"/>
              <w:left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色达县</w:t>
            </w:r>
          </w:p>
        </w:tc>
        <w:tc>
          <w:tcPr>
            <w:tcW w:w="1724"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5210</w:t>
            </w:r>
          </w:p>
        </w:tc>
        <w:tc>
          <w:tcPr>
            <w:tcW w:w="172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2474</w:t>
            </w:r>
          </w:p>
        </w:tc>
        <w:tc>
          <w:tcPr>
            <w:tcW w:w="136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9561</w:t>
            </w:r>
          </w:p>
        </w:tc>
        <w:tc>
          <w:tcPr>
            <w:tcW w:w="1210" w:type="dxa"/>
            <w:tcBorders>
              <w:top w:val="nil"/>
              <w:left w:val="single" w:color="auto" w:sz="4" w:space="0"/>
              <w:bottom w:val="nil"/>
              <w:right w:val="nil"/>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46736</w:t>
            </w:r>
          </w:p>
        </w:tc>
      </w:tr>
      <w:tr>
        <w:tblPrEx>
          <w:tblCellMar>
            <w:top w:w="0" w:type="dxa"/>
            <w:left w:w="0" w:type="dxa"/>
            <w:bottom w:w="0" w:type="dxa"/>
            <w:right w:w="0" w:type="dxa"/>
          </w:tblCellMar>
        </w:tblPrEx>
        <w:trPr>
          <w:trHeight w:val="454" w:hRule="exact"/>
          <w:jc w:val="center"/>
        </w:trPr>
        <w:tc>
          <w:tcPr>
            <w:tcW w:w="2073" w:type="dxa"/>
            <w:tcBorders>
              <w:top w:val="nil"/>
              <w:left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理塘县</w:t>
            </w:r>
          </w:p>
        </w:tc>
        <w:tc>
          <w:tcPr>
            <w:tcW w:w="1724"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8603</w:t>
            </w:r>
          </w:p>
        </w:tc>
        <w:tc>
          <w:tcPr>
            <w:tcW w:w="172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4714</w:t>
            </w:r>
          </w:p>
        </w:tc>
        <w:tc>
          <w:tcPr>
            <w:tcW w:w="136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10050</w:t>
            </w:r>
          </w:p>
        </w:tc>
        <w:tc>
          <w:tcPr>
            <w:tcW w:w="1210" w:type="dxa"/>
            <w:tcBorders>
              <w:top w:val="nil"/>
              <w:left w:val="single" w:color="auto" w:sz="4" w:space="0"/>
              <w:bottom w:val="nil"/>
              <w:right w:val="nil"/>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38335</w:t>
            </w:r>
          </w:p>
        </w:tc>
      </w:tr>
      <w:tr>
        <w:tblPrEx>
          <w:tblCellMar>
            <w:top w:w="0" w:type="dxa"/>
            <w:left w:w="0" w:type="dxa"/>
            <w:bottom w:w="0" w:type="dxa"/>
            <w:right w:w="0" w:type="dxa"/>
          </w:tblCellMar>
        </w:tblPrEx>
        <w:trPr>
          <w:trHeight w:val="454" w:hRule="exact"/>
          <w:jc w:val="center"/>
        </w:trPr>
        <w:tc>
          <w:tcPr>
            <w:tcW w:w="2073" w:type="dxa"/>
            <w:tcBorders>
              <w:top w:val="nil"/>
              <w:left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巴塘县</w:t>
            </w:r>
          </w:p>
        </w:tc>
        <w:tc>
          <w:tcPr>
            <w:tcW w:w="1724"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9594</w:t>
            </w:r>
          </w:p>
        </w:tc>
        <w:tc>
          <w:tcPr>
            <w:tcW w:w="172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8580</w:t>
            </w:r>
          </w:p>
        </w:tc>
        <w:tc>
          <w:tcPr>
            <w:tcW w:w="136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13397</w:t>
            </w:r>
          </w:p>
        </w:tc>
        <w:tc>
          <w:tcPr>
            <w:tcW w:w="1210" w:type="dxa"/>
            <w:tcBorders>
              <w:top w:val="nil"/>
              <w:left w:val="single" w:color="auto" w:sz="4" w:space="0"/>
              <w:bottom w:val="nil"/>
              <w:right w:val="nil"/>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31561</w:t>
            </w:r>
          </w:p>
        </w:tc>
      </w:tr>
      <w:tr>
        <w:tblPrEx>
          <w:tblCellMar>
            <w:top w:w="0" w:type="dxa"/>
            <w:left w:w="0" w:type="dxa"/>
            <w:bottom w:w="0" w:type="dxa"/>
            <w:right w:w="0" w:type="dxa"/>
          </w:tblCellMar>
        </w:tblPrEx>
        <w:trPr>
          <w:trHeight w:val="454" w:hRule="exact"/>
          <w:jc w:val="center"/>
        </w:trPr>
        <w:tc>
          <w:tcPr>
            <w:tcW w:w="2073" w:type="dxa"/>
            <w:tcBorders>
              <w:top w:val="nil"/>
              <w:left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乡城县</w:t>
            </w:r>
          </w:p>
        </w:tc>
        <w:tc>
          <w:tcPr>
            <w:tcW w:w="1724"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12561</w:t>
            </w:r>
          </w:p>
        </w:tc>
        <w:tc>
          <w:tcPr>
            <w:tcW w:w="172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7419</w:t>
            </w:r>
          </w:p>
        </w:tc>
        <w:tc>
          <w:tcPr>
            <w:tcW w:w="136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17713</w:t>
            </w:r>
          </w:p>
        </w:tc>
        <w:tc>
          <w:tcPr>
            <w:tcW w:w="1210" w:type="dxa"/>
            <w:tcBorders>
              <w:top w:val="nil"/>
              <w:left w:val="single" w:color="auto" w:sz="4" w:space="0"/>
              <w:bottom w:val="nil"/>
              <w:right w:val="nil"/>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37125</w:t>
            </w:r>
          </w:p>
        </w:tc>
      </w:tr>
      <w:tr>
        <w:tblPrEx>
          <w:tblCellMar>
            <w:top w:w="0" w:type="dxa"/>
            <w:left w:w="0" w:type="dxa"/>
            <w:bottom w:w="0" w:type="dxa"/>
            <w:right w:w="0" w:type="dxa"/>
          </w:tblCellMar>
        </w:tblPrEx>
        <w:trPr>
          <w:trHeight w:val="454" w:hRule="exact"/>
          <w:jc w:val="center"/>
        </w:trPr>
        <w:tc>
          <w:tcPr>
            <w:tcW w:w="2073" w:type="dxa"/>
            <w:tcBorders>
              <w:top w:val="nil"/>
              <w:left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稻城县</w:t>
            </w:r>
          </w:p>
        </w:tc>
        <w:tc>
          <w:tcPr>
            <w:tcW w:w="1724"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11380</w:t>
            </w:r>
          </w:p>
        </w:tc>
        <w:tc>
          <w:tcPr>
            <w:tcW w:w="172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5462</w:t>
            </w:r>
          </w:p>
        </w:tc>
        <w:tc>
          <w:tcPr>
            <w:tcW w:w="1365" w:type="dxa"/>
            <w:tcBorders>
              <w:top w:val="nil"/>
              <w:left w:val="single" w:color="auto" w:sz="4" w:space="0"/>
              <w:bottom w:val="nil"/>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18608</w:t>
            </w:r>
          </w:p>
        </w:tc>
        <w:tc>
          <w:tcPr>
            <w:tcW w:w="1210" w:type="dxa"/>
            <w:tcBorders>
              <w:top w:val="nil"/>
              <w:left w:val="single" w:color="auto" w:sz="4" w:space="0"/>
              <w:bottom w:val="nil"/>
              <w:right w:val="nil"/>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46394</w:t>
            </w:r>
          </w:p>
        </w:tc>
      </w:tr>
      <w:tr>
        <w:tblPrEx>
          <w:tblCellMar>
            <w:top w:w="0" w:type="dxa"/>
            <w:left w:w="0" w:type="dxa"/>
            <w:bottom w:w="0" w:type="dxa"/>
            <w:right w:w="0" w:type="dxa"/>
          </w:tblCellMar>
        </w:tblPrEx>
        <w:trPr>
          <w:trHeight w:val="454" w:hRule="exact"/>
          <w:jc w:val="center"/>
        </w:trPr>
        <w:tc>
          <w:tcPr>
            <w:tcW w:w="2073" w:type="dxa"/>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得荣县</w:t>
            </w:r>
          </w:p>
        </w:tc>
        <w:tc>
          <w:tcPr>
            <w:tcW w:w="1724"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13031</w:t>
            </w:r>
          </w:p>
        </w:tc>
        <w:tc>
          <w:tcPr>
            <w:tcW w:w="172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5673</w:t>
            </w:r>
          </w:p>
        </w:tc>
        <w:tc>
          <w:tcPr>
            <w:tcW w:w="1365" w:type="dxa"/>
            <w:tcBorders>
              <w:top w:val="nil"/>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14037</w:t>
            </w:r>
          </w:p>
        </w:tc>
        <w:tc>
          <w:tcPr>
            <w:tcW w:w="1210" w:type="dxa"/>
            <w:tcBorders>
              <w:top w:val="nil"/>
              <w:left w:val="single" w:color="auto" w:sz="4" w:space="0"/>
              <w:bottom w:val="single" w:color="auto" w:sz="4" w:space="0"/>
              <w:right w:val="nil"/>
            </w:tcBorders>
            <w:shd w:val="clear" w:color="auto" w:fill="auto"/>
            <w:tcMar>
              <w:top w:w="15" w:type="dxa"/>
              <w:left w:w="15" w:type="dxa"/>
              <w:right w:w="15" w:type="dxa"/>
            </w:tcMar>
            <w:vAlign w:val="center"/>
          </w:tcPr>
          <w:p>
            <w:pPr>
              <w:widowControl/>
              <w:jc w:val="center"/>
              <w:textAlignment w:val="center"/>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29760</w:t>
            </w:r>
          </w:p>
        </w:tc>
      </w:tr>
    </w:tbl>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二、平均受教育年限</w:t>
      </w:r>
      <w:r>
        <w:rPr>
          <w:rFonts w:hint="eastAsia" w:ascii="黑体" w:hAnsi="黑体" w:eastAsia="黑体" w:cs="黑体"/>
          <w:sz w:val="32"/>
          <w:szCs w:val="32"/>
          <w:vertAlign w:val="superscript"/>
        </w:rPr>
        <w:t>[3</w:t>
      </w:r>
      <w:r>
        <w:rPr>
          <w:rFonts w:ascii="黑体" w:hAnsi="黑体" w:eastAsia="黑体" w:cs="黑体"/>
          <w:sz w:val="32"/>
          <w:szCs w:val="32"/>
          <w:vertAlign w:val="superscript"/>
        </w:rPr>
        <w:t>]</w:t>
      </w:r>
    </w:p>
    <w:p>
      <w:pPr>
        <w:spacing w:line="5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与2010年第六次全国人口普查相比，</w:t>
      </w:r>
      <w:r>
        <w:rPr>
          <w:rFonts w:hint="eastAsia" w:ascii="仿宋_GB2312" w:hAnsi="仿宋" w:eastAsia="仿宋_GB2312" w:cs="仿宋_GB2312"/>
          <w:sz w:val="32"/>
          <w:szCs w:val="32"/>
          <w:lang w:val="en"/>
        </w:rPr>
        <w:t>全州常住</w:t>
      </w:r>
      <w:r>
        <w:rPr>
          <w:rFonts w:hint="eastAsia" w:ascii="仿宋_GB2312" w:hAnsi="仿宋" w:eastAsia="仿宋_GB2312" w:cs="仿宋_GB2312"/>
          <w:sz w:val="32"/>
          <w:szCs w:val="32"/>
        </w:rPr>
        <w:t>人口中，15岁及以上人口的平均受教育年限由</w:t>
      </w:r>
      <w:r>
        <w:rPr>
          <w:rFonts w:hint="eastAsia" w:ascii="仿宋_GB2312" w:hAnsi="宋体" w:eastAsia="仿宋_GB2312"/>
          <w:spacing w:val="8"/>
          <w:sz w:val="32"/>
          <w:szCs w:val="32"/>
        </w:rPr>
        <w:t xml:space="preserve"> 5.78年提高</w:t>
      </w:r>
      <w:r>
        <w:rPr>
          <w:rFonts w:hint="eastAsia" w:ascii="仿宋_GB2312" w:hAnsi="仿宋" w:eastAsia="仿宋_GB2312" w:cs="仿宋_GB2312"/>
          <w:sz w:val="32"/>
          <w:szCs w:val="32"/>
        </w:rPr>
        <w:t>至</w:t>
      </w:r>
      <w:r>
        <w:rPr>
          <w:rFonts w:hint="eastAsia" w:ascii="仿宋_GB2312" w:hAnsi="宋体" w:eastAsia="仿宋_GB2312"/>
          <w:spacing w:val="8"/>
          <w:sz w:val="32"/>
          <w:szCs w:val="32"/>
        </w:rPr>
        <w:t xml:space="preserve"> 6.89</w:t>
      </w:r>
      <w:r>
        <w:rPr>
          <w:rFonts w:hint="eastAsia" w:ascii="仿宋_GB2312" w:hAnsi="仿宋" w:eastAsia="仿宋_GB2312" w:cs="仿宋_GB2312"/>
          <w:sz w:val="32"/>
          <w:szCs w:val="32"/>
        </w:rPr>
        <w:t>年。</w:t>
      </w:r>
    </w:p>
    <w:p>
      <w:pPr>
        <w:widowControl/>
        <w:spacing w:before="312" w:beforeLines="100" w:line="375" w:lineRule="atLeast"/>
        <w:jc w:val="center"/>
        <w:rPr>
          <w:rFonts w:ascii="黑体" w:hAnsi="黑体" w:eastAsia="黑体" w:cs="仿宋"/>
          <w:kern w:val="0"/>
          <w:sz w:val="24"/>
          <w:szCs w:val="28"/>
        </w:rPr>
      </w:pPr>
    </w:p>
    <w:p>
      <w:pPr>
        <w:widowControl/>
        <w:spacing w:before="312" w:beforeLines="100" w:line="375" w:lineRule="atLeast"/>
        <w:jc w:val="center"/>
        <w:rPr>
          <w:rFonts w:ascii="黑体" w:hAnsi="黑体" w:eastAsia="黑体" w:cs="仿宋"/>
          <w:kern w:val="0"/>
          <w:sz w:val="24"/>
          <w:szCs w:val="28"/>
        </w:rPr>
      </w:pPr>
    </w:p>
    <w:p>
      <w:pPr>
        <w:widowControl/>
        <w:spacing w:before="312" w:beforeLines="100" w:line="375" w:lineRule="atLeast"/>
        <w:jc w:val="center"/>
        <w:rPr>
          <w:rFonts w:ascii="黑体" w:hAnsi="黑体" w:eastAsia="黑体" w:cs="仿宋"/>
          <w:kern w:val="0"/>
          <w:sz w:val="24"/>
          <w:szCs w:val="28"/>
        </w:rPr>
      </w:pPr>
      <w:r>
        <w:rPr>
          <w:rFonts w:ascii="黑体" w:hAnsi="黑体" w:eastAsia="黑体" w:cs="仿宋"/>
          <w:kern w:val="0"/>
          <w:sz w:val="24"/>
          <w:szCs w:val="28"/>
        </w:rPr>
        <w:t>表</w:t>
      </w:r>
      <w:r>
        <w:rPr>
          <w:rFonts w:ascii="黑体" w:hAnsi="黑体" w:eastAsia="黑体" w:cs="仿宋"/>
          <w:kern w:val="0"/>
          <w:sz w:val="24"/>
          <w:szCs w:val="28"/>
          <w:lang w:val="en"/>
        </w:rPr>
        <w:t>5</w:t>
      </w:r>
      <w:r>
        <w:rPr>
          <w:rFonts w:hint="eastAsia" w:ascii="黑体" w:hAnsi="黑体" w:eastAsia="黑体" w:cs="仿宋"/>
          <w:kern w:val="0"/>
          <w:sz w:val="24"/>
          <w:szCs w:val="28"/>
        </w:rPr>
        <w:t>-</w:t>
      </w:r>
      <w:r>
        <w:rPr>
          <w:rFonts w:ascii="黑体" w:hAnsi="黑体" w:eastAsia="黑体" w:cs="仿宋"/>
          <w:kern w:val="0"/>
          <w:sz w:val="24"/>
          <w:szCs w:val="28"/>
        </w:rPr>
        <w:t xml:space="preserve">2 </w:t>
      </w:r>
      <w:r>
        <w:rPr>
          <w:rFonts w:hint="eastAsia" w:ascii="黑体" w:hAnsi="黑体" w:eastAsia="黑体" w:cs="仿宋"/>
          <w:kern w:val="0"/>
          <w:sz w:val="24"/>
          <w:szCs w:val="28"/>
        </w:rPr>
        <w:t>各县（市）15岁及以上人口平均受教育年限</w:t>
      </w:r>
    </w:p>
    <w:p>
      <w:pPr>
        <w:widowControl/>
        <w:spacing w:line="375" w:lineRule="atLeast"/>
        <w:ind w:firstLine="640" w:firstLineChars="200"/>
        <w:jc w:val="right"/>
        <w:rPr>
          <w:rFonts w:ascii="仿宋_GB2312" w:hAnsi="仿宋" w:eastAsia="仿宋_GB2312" w:cs="仿宋"/>
          <w:kern w:val="0"/>
          <w:sz w:val="24"/>
          <w:szCs w:val="20"/>
        </w:rPr>
      </w:pPr>
      <w:r>
        <w:rPr>
          <w:rFonts w:hint="eastAsia" w:ascii="仿宋_GB2312" w:hAnsi="仿宋" w:eastAsia="仿宋_GB2312" w:cs="仿宋"/>
          <w:kern w:val="0"/>
          <w:sz w:val="32"/>
        </w:rPr>
        <w:t xml:space="preserve">                                    </w:t>
      </w:r>
      <w:r>
        <w:rPr>
          <w:rFonts w:hint="eastAsia" w:ascii="仿宋_GB2312" w:hAnsi="仿宋" w:eastAsia="仿宋_GB2312" w:cs="仿宋"/>
          <w:kern w:val="0"/>
          <w:sz w:val="24"/>
          <w:szCs w:val="20"/>
        </w:rPr>
        <w:t>单位：年</w:t>
      </w:r>
    </w:p>
    <w:tbl>
      <w:tblPr>
        <w:tblStyle w:val="5"/>
        <w:tblW w:w="5522" w:type="dxa"/>
        <w:jc w:val="center"/>
        <w:tblBorders>
          <w:top w:val="single" w:color="auto" w:sz="12"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0" w:type="dxa"/>
          <w:bottom w:w="0" w:type="dxa"/>
          <w:right w:w="0" w:type="dxa"/>
        </w:tblCellMar>
      </w:tblPr>
      <w:tblGrid>
        <w:gridCol w:w="2736"/>
        <w:gridCol w:w="2786"/>
      </w:tblGrid>
      <w:tr>
        <w:tblPrEx>
          <w:tblBorders>
            <w:top w:val="single" w:color="auto" w:sz="12"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587" w:hRule="exact"/>
          <w:jc w:val="center"/>
        </w:trPr>
        <w:tc>
          <w:tcPr>
            <w:tcW w:w="2736" w:type="dxa"/>
            <w:tcBorders>
              <w:bottom w:val="single" w:color="auto" w:sz="4" w:space="0"/>
            </w:tcBorders>
            <w:shd w:val="clear" w:color="auto" w:fill="auto"/>
            <w:tcMar>
              <w:top w:w="15" w:type="dxa"/>
              <w:left w:w="15" w:type="dxa"/>
              <w:right w:w="15" w:type="dxa"/>
            </w:tcMar>
            <w:vAlign w:val="center"/>
          </w:tcPr>
          <w:p>
            <w:pPr>
              <w:widowControl/>
              <w:jc w:val="center"/>
              <w:textAlignment w:val="center"/>
              <w:rPr>
                <w:rFonts w:ascii="仿宋_GB2312" w:hAnsi="仿宋" w:eastAsia="仿宋_GB2312" w:cs="仿宋"/>
                <w:bCs/>
                <w:color w:val="000000"/>
                <w:sz w:val="24"/>
                <w:szCs w:val="24"/>
              </w:rPr>
            </w:pPr>
            <w:r>
              <w:rPr>
                <w:rFonts w:hint="eastAsia" w:ascii="仿宋_GB2312" w:hAnsi="仿宋" w:eastAsia="仿宋_GB2312" w:cs="仿宋"/>
                <w:bCs/>
                <w:color w:val="000000"/>
                <w:kern w:val="0"/>
                <w:sz w:val="24"/>
                <w:szCs w:val="24"/>
                <w:lang w:bidi="ar"/>
              </w:rPr>
              <w:t>地区</w:t>
            </w:r>
          </w:p>
        </w:tc>
        <w:tc>
          <w:tcPr>
            <w:tcW w:w="2786" w:type="dxa"/>
            <w:tcBorders>
              <w:bottom w:val="single" w:color="auto" w:sz="4" w:space="0"/>
            </w:tcBorders>
            <w:shd w:val="clear" w:color="auto" w:fill="auto"/>
            <w:tcMar>
              <w:top w:w="15" w:type="dxa"/>
              <w:left w:w="15" w:type="dxa"/>
              <w:right w:w="15" w:type="dxa"/>
            </w:tcMar>
            <w:vAlign w:val="center"/>
          </w:tcPr>
          <w:p>
            <w:pPr>
              <w:widowControl/>
              <w:jc w:val="center"/>
              <w:textAlignment w:val="center"/>
              <w:rPr>
                <w:rFonts w:ascii="仿宋_GB2312" w:hAnsi="仿宋" w:eastAsia="仿宋_GB2312" w:cs="仿宋"/>
                <w:bCs/>
                <w:color w:val="000000"/>
                <w:sz w:val="24"/>
                <w:szCs w:val="24"/>
              </w:rPr>
            </w:pPr>
            <w:r>
              <w:rPr>
                <w:rFonts w:hint="eastAsia" w:ascii="仿宋_GB2312" w:hAnsi="仿宋" w:eastAsia="仿宋_GB2312" w:cs="仿宋"/>
                <w:bCs/>
                <w:color w:val="000000"/>
                <w:sz w:val="24"/>
                <w:szCs w:val="24"/>
              </w:rPr>
              <w:t>2</w:t>
            </w:r>
            <w:r>
              <w:rPr>
                <w:rFonts w:ascii="仿宋_GB2312" w:hAnsi="仿宋" w:eastAsia="仿宋_GB2312" w:cs="仿宋"/>
                <w:bCs/>
                <w:color w:val="000000"/>
                <w:sz w:val="24"/>
                <w:szCs w:val="24"/>
              </w:rPr>
              <w:t>020年</w:t>
            </w:r>
          </w:p>
        </w:tc>
      </w:tr>
      <w:tr>
        <w:tblPrEx>
          <w:tblBorders>
            <w:top w:val="single" w:color="auto" w:sz="12"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2736" w:type="dxa"/>
            <w:tcBorders>
              <w:top w:val="single" w:color="auto" w:sz="4" w:space="0"/>
              <w:bottom w:val="nil"/>
              <w:right w:val="single" w:color="auto" w:sz="4" w:space="0"/>
            </w:tcBorders>
            <w:shd w:val="clear" w:color="auto" w:fill="auto"/>
            <w:tcMar>
              <w:top w:w="15" w:type="dxa"/>
              <w:left w:w="15" w:type="dxa"/>
              <w:right w:w="15" w:type="dxa"/>
            </w:tcMar>
            <w:vAlign w:val="center"/>
          </w:tcPr>
          <w:p>
            <w:pPr>
              <w:widowControl/>
              <w:ind w:firstLine="880" w:firstLineChars="400"/>
              <w:textAlignment w:val="bottom"/>
              <w:rPr>
                <w:rFonts w:asciiTheme="minorEastAsia" w:hAnsiTheme="minorEastAsia" w:eastAsiaTheme="minorEastAsia" w:cstheme="minorEastAsia"/>
                <w:b/>
                <w:bCs/>
                <w:color w:val="000000"/>
                <w:sz w:val="22"/>
              </w:rPr>
            </w:pPr>
            <w:r>
              <w:rPr>
                <w:rFonts w:hint="eastAsia" w:asciiTheme="minorEastAsia" w:hAnsiTheme="minorEastAsia" w:eastAsiaTheme="minorEastAsia" w:cstheme="minorEastAsia"/>
                <w:color w:val="000000"/>
                <w:kern w:val="0"/>
                <w:sz w:val="22"/>
                <w:lang w:bidi="ar"/>
              </w:rPr>
              <w:t>全州</w:t>
            </w:r>
          </w:p>
        </w:tc>
        <w:tc>
          <w:tcPr>
            <w:tcW w:w="2786" w:type="dxa"/>
            <w:tcBorders>
              <w:top w:val="single" w:color="auto" w:sz="4" w:space="0"/>
              <w:left w:val="single" w:color="auto" w:sz="4" w:space="0"/>
              <w:bottom w:val="nil"/>
              <w:right w:val="nil"/>
            </w:tcBorders>
            <w:shd w:val="clear" w:color="auto" w:fill="auto"/>
            <w:tcMar>
              <w:top w:w="15" w:type="dxa"/>
              <w:left w:w="15" w:type="dxa"/>
              <w:right w:w="15" w:type="dxa"/>
            </w:tcMar>
            <w:vAlign w:val="bottom"/>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6.89</w:t>
            </w:r>
          </w:p>
        </w:tc>
      </w:tr>
      <w:tr>
        <w:tblPrEx>
          <w:tblBorders>
            <w:top w:val="single" w:color="auto" w:sz="12"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2736" w:type="dxa"/>
            <w:tcBorders>
              <w:top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b/>
                <w:bCs/>
                <w:color w:val="000000"/>
                <w:kern w:val="0"/>
                <w:sz w:val="22"/>
                <w:lang w:bidi="ar"/>
              </w:rPr>
            </w:pPr>
            <w:r>
              <w:rPr>
                <w:rFonts w:hint="eastAsia" w:asciiTheme="minorEastAsia" w:hAnsiTheme="minorEastAsia" w:eastAsiaTheme="minorEastAsia" w:cstheme="minorEastAsia"/>
                <w:color w:val="000000"/>
                <w:kern w:val="0"/>
                <w:sz w:val="22"/>
                <w:lang w:bidi="ar"/>
              </w:rPr>
              <w:t>康定市</w:t>
            </w:r>
          </w:p>
        </w:tc>
        <w:tc>
          <w:tcPr>
            <w:tcW w:w="2786" w:type="dxa"/>
            <w:tcBorders>
              <w:top w:val="nil"/>
              <w:left w:val="single" w:color="auto" w:sz="4" w:space="0"/>
              <w:bottom w:val="nil"/>
              <w:right w:val="nil"/>
            </w:tcBorders>
            <w:shd w:val="clear" w:color="auto" w:fill="auto"/>
            <w:tcMar>
              <w:top w:w="15" w:type="dxa"/>
              <w:left w:w="15" w:type="dxa"/>
              <w:right w:w="15" w:type="dxa"/>
            </w:tcMar>
            <w:vAlign w:val="bottom"/>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9.28</w:t>
            </w:r>
          </w:p>
        </w:tc>
      </w:tr>
      <w:tr>
        <w:tblPrEx>
          <w:tblBorders>
            <w:top w:val="single" w:color="auto" w:sz="12"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2736" w:type="dxa"/>
            <w:tcBorders>
              <w:top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泸定县</w:t>
            </w:r>
          </w:p>
        </w:tc>
        <w:tc>
          <w:tcPr>
            <w:tcW w:w="2786" w:type="dxa"/>
            <w:tcBorders>
              <w:top w:val="nil"/>
              <w:left w:val="single" w:color="auto" w:sz="4" w:space="0"/>
              <w:bottom w:val="nil"/>
              <w:right w:val="nil"/>
            </w:tcBorders>
            <w:shd w:val="clear" w:color="auto" w:fill="auto"/>
            <w:tcMar>
              <w:top w:w="15" w:type="dxa"/>
              <w:left w:w="15" w:type="dxa"/>
              <w:right w:w="15" w:type="dxa"/>
            </w:tcMar>
            <w:vAlign w:val="bottom"/>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9.68</w:t>
            </w:r>
          </w:p>
        </w:tc>
      </w:tr>
      <w:tr>
        <w:tblPrEx>
          <w:tblBorders>
            <w:top w:val="single" w:color="auto" w:sz="12"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2736" w:type="dxa"/>
            <w:tcBorders>
              <w:top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丹巴县</w:t>
            </w:r>
          </w:p>
        </w:tc>
        <w:tc>
          <w:tcPr>
            <w:tcW w:w="2786" w:type="dxa"/>
            <w:tcBorders>
              <w:top w:val="nil"/>
              <w:left w:val="single" w:color="auto" w:sz="4" w:space="0"/>
              <w:bottom w:val="nil"/>
              <w:right w:val="nil"/>
            </w:tcBorders>
            <w:shd w:val="clear" w:color="auto" w:fill="auto"/>
            <w:tcMar>
              <w:top w:w="15" w:type="dxa"/>
              <w:left w:w="15" w:type="dxa"/>
              <w:right w:w="15" w:type="dxa"/>
            </w:tcMar>
            <w:vAlign w:val="bottom"/>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8.47</w:t>
            </w:r>
          </w:p>
        </w:tc>
      </w:tr>
      <w:tr>
        <w:tblPrEx>
          <w:tblBorders>
            <w:top w:val="single" w:color="auto" w:sz="12"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2736" w:type="dxa"/>
            <w:tcBorders>
              <w:top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九龙县</w:t>
            </w:r>
          </w:p>
        </w:tc>
        <w:tc>
          <w:tcPr>
            <w:tcW w:w="2786" w:type="dxa"/>
            <w:tcBorders>
              <w:top w:val="nil"/>
              <w:left w:val="single" w:color="auto" w:sz="4" w:space="0"/>
              <w:bottom w:val="nil"/>
              <w:right w:val="nil"/>
            </w:tcBorders>
            <w:shd w:val="clear" w:color="auto" w:fill="auto"/>
            <w:tcMar>
              <w:top w:w="15" w:type="dxa"/>
              <w:left w:w="15" w:type="dxa"/>
              <w:right w:w="15" w:type="dxa"/>
            </w:tcMar>
            <w:vAlign w:val="bottom"/>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7.68</w:t>
            </w:r>
          </w:p>
        </w:tc>
      </w:tr>
      <w:tr>
        <w:tblPrEx>
          <w:tblBorders>
            <w:top w:val="single" w:color="auto" w:sz="12"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2736" w:type="dxa"/>
            <w:tcBorders>
              <w:top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雅江县</w:t>
            </w:r>
          </w:p>
        </w:tc>
        <w:tc>
          <w:tcPr>
            <w:tcW w:w="2786" w:type="dxa"/>
            <w:tcBorders>
              <w:top w:val="nil"/>
              <w:left w:val="single" w:color="auto" w:sz="4" w:space="0"/>
              <w:bottom w:val="nil"/>
              <w:right w:val="nil"/>
            </w:tcBorders>
            <w:shd w:val="clear" w:color="auto" w:fill="auto"/>
            <w:tcMar>
              <w:top w:w="15" w:type="dxa"/>
              <w:left w:w="15" w:type="dxa"/>
              <w:right w:w="15" w:type="dxa"/>
            </w:tcMar>
            <w:vAlign w:val="bottom"/>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6.31</w:t>
            </w:r>
          </w:p>
        </w:tc>
      </w:tr>
      <w:tr>
        <w:tblPrEx>
          <w:tblBorders>
            <w:top w:val="single" w:color="auto" w:sz="12"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2736" w:type="dxa"/>
            <w:tcBorders>
              <w:top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道孚县</w:t>
            </w:r>
          </w:p>
        </w:tc>
        <w:tc>
          <w:tcPr>
            <w:tcW w:w="2786" w:type="dxa"/>
            <w:tcBorders>
              <w:top w:val="nil"/>
              <w:left w:val="single" w:color="auto" w:sz="4" w:space="0"/>
              <w:bottom w:val="nil"/>
              <w:right w:val="nil"/>
            </w:tcBorders>
            <w:shd w:val="clear" w:color="auto" w:fill="auto"/>
            <w:tcMar>
              <w:top w:w="15" w:type="dxa"/>
              <w:left w:w="15" w:type="dxa"/>
              <w:right w:w="15" w:type="dxa"/>
            </w:tcMar>
            <w:vAlign w:val="bottom"/>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7.66</w:t>
            </w:r>
          </w:p>
        </w:tc>
      </w:tr>
      <w:tr>
        <w:tblPrEx>
          <w:tblBorders>
            <w:top w:val="single" w:color="auto" w:sz="12"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2736" w:type="dxa"/>
            <w:tcBorders>
              <w:top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炉霍县</w:t>
            </w:r>
          </w:p>
        </w:tc>
        <w:tc>
          <w:tcPr>
            <w:tcW w:w="2786" w:type="dxa"/>
            <w:tcBorders>
              <w:top w:val="nil"/>
              <w:left w:val="single" w:color="auto" w:sz="4" w:space="0"/>
              <w:bottom w:val="nil"/>
              <w:right w:val="nil"/>
            </w:tcBorders>
            <w:shd w:val="clear" w:color="auto" w:fill="auto"/>
            <w:tcMar>
              <w:top w:w="15" w:type="dxa"/>
              <w:left w:w="15" w:type="dxa"/>
              <w:right w:w="15" w:type="dxa"/>
            </w:tcMar>
            <w:vAlign w:val="bottom"/>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6.42</w:t>
            </w:r>
          </w:p>
        </w:tc>
      </w:tr>
      <w:tr>
        <w:tblPrEx>
          <w:tblBorders>
            <w:top w:val="single" w:color="auto" w:sz="12"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2736" w:type="dxa"/>
            <w:tcBorders>
              <w:top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甘孜县</w:t>
            </w:r>
          </w:p>
        </w:tc>
        <w:tc>
          <w:tcPr>
            <w:tcW w:w="2786" w:type="dxa"/>
            <w:tcBorders>
              <w:top w:val="nil"/>
              <w:left w:val="single" w:color="auto" w:sz="4" w:space="0"/>
              <w:bottom w:val="nil"/>
              <w:right w:val="nil"/>
            </w:tcBorders>
            <w:shd w:val="clear" w:color="auto" w:fill="auto"/>
            <w:tcMar>
              <w:top w:w="15" w:type="dxa"/>
              <w:left w:w="15" w:type="dxa"/>
              <w:right w:w="15" w:type="dxa"/>
            </w:tcMar>
            <w:vAlign w:val="bottom"/>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5.51</w:t>
            </w:r>
          </w:p>
        </w:tc>
      </w:tr>
      <w:tr>
        <w:tblPrEx>
          <w:tblBorders>
            <w:top w:val="single" w:color="auto" w:sz="12"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2736" w:type="dxa"/>
            <w:tcBorders>
              <w:top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新龙县</w:t>
            </w:r>
          </w:p>
        </w:tc>
        <w:tc>
          <w:tcPr>
            <w:tcW w:w="2786" w:type="dxa"/>
            <w:tcBorders>
              <w:top w:val="nil"/>
              <w:left w:val="single" w:color="auto" w:sz="4" w:space="0"/>
              <w:bottom w:val="nil"/>
              <w:right w:val="nil"/>
            </w:tcBorders>
            <w:shd w:val="clear" w:color="auto" w:fill="auto"/>
            <w:tcMar>
              <w:top w:w="15" w:type="dxa"/>
              <w:left w:w="15" w:type="dxa"/>
              <w:right w:w="15" w:type="dxa"/>
            </w:tcMar>
            <w:vAlign w:val="bottom"/>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6.09</w:t>
            </w:r>
          </w:p>
        </w:tc>
      </w:tr>
      <w:tr>
        <w:tblPrEx>
          <w:tblBorders>
            <w:top w:val="single" w:color="auto" w:sz="12"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2736" w:type="dxa"/>
            <w:tcBorders>
              <w:top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德格县</w:t>
            </w:r>
          </w:p>
        </w:tc>
        <w:tc>
          <w:tcPr>
            <w:tcW w:w="2786" w:type="dxa"/>
            <w:tcBorders>
              <w:top w:val="nil"/>
              <w:left w:val="single" w:color="auto" w:sz="4" w:space="0"/>
              <w:bottom w:val="nil"/>
              <w:right w:val="nil"/>
            </w:tcBorders>
            <w:shd w:val="clear" w:color="auto" w:fill="auto"/>
            <w:tcMar>
              <w:top w:w="15" w:type="dxa"/>
              <w:left w:w="15" w:type="dxa"/>
              <w:right w:w="15" w:type="dxa"/>
            </w:tcMar>
            <w:vAlign w:val="bottom"/>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4.85</w:t>
            </w:r>
          </w:p>
        </w:tc>
      </w:tr>
      <w:tr>
        <w:tblPrEx>
          <w:tblBorders>
            <w:top w:val="single" w:color="auto" w:sz="12"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2736" w:type="dxa"/>
            <w:tcBorders>
              <w:top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白玉县</w:t>
            </w:r>
          </w:p>
        </w:tc>
        <w:tc>
          <w:tcPr>
            <w:tcW w:w="2786" w:type="dxa"/>
            <w:tcBorders>
              <w:top w:val="nil"/>
              <w:left w:val="single" w:color="auto" w:sz="4" w:space="0"/>
              <w:bottom w:val="nil"/>
              <w:right w:val="nil"/>
            </w:tcBorders>
            <w:shd w:val="clear" w:color="auto" w:fill="auto"/>
            <w:tcMar>
              <w:top w:w="15" w:type="dxa"/>
              <w:left w:w="15" w:type="dxa"/>
              <w:right w:w="15" w:type="dxa"/>
            </w:tcMar>
            <w:vAlign w:val="bottom"/>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5.93</w:t>
            </w:r>
          </w:p>
        </w:tc>
      </w:tr>
      <w:tr>
        <w:tblPrEx>
          <w:tblBorders>
            <w:top w:val="single" w:color="auto" w:sz="12"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2736" w:type="dxa"/>
            <w:tcBorders>
              <w:top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石渠县</w:t>
            </w:r>
          </w:p>
        </w:tc>
        <w:tc>
          <w:tcPr>
            <w:tcW w:w="2786" w:type="dxa"/>
            <w:tcBorders>
              <w:top w:val="nil"/>
              <w:left w:val="single" w:color="auto" w:sz="4" w:space="0"/>
              <w:bottom w:val="nil"/>
              <w:right w:val="nil"/>
            </w:tcBorders>
            <w:shd w:val="clear" w:color="auto" w:fill="auto"/>
            <w:tcMar>
              <w:top w:w="15" w:type="dxa"/>
              <w:left w:w="15" w:type="dxa"/>
              <w:right w:w="15" w:type="dxa"/>
            </w:tcMar>
            <w:vAlign w:val="bottom"/>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5.12</w:t>
            </w:r>
          </w:p>
        </w:tc>
      </w:tr>
      <w:tr>
        <w:tblPrEx>
          <w:tblBorders>
            <w:top w:val="single" w:color="auto" w:sz="12"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2736" w:type="dxa"/>
            <w:tcBorders>
              <w:top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色达县</w:t>
            </w:r>
          </w:p>
        </w:tc>
        <w:tc>
          <w:tcPr>
            <w:tcW w:w="2786" w:type="dxa"/>
            <w:tcBorders>
              <w:top w:val="nil"/>
              <w:left w:val="single" w:color="auto" w:sz="4" w:space="0"/>
              <w:bottom w:val="nil"/>
              <w:right w:val="nil"/>
            </w:tcBorders>
            <w:shd w:val="clear" w:color="auto" w:fill="auto"/>
            <w:tcMar>
              <w:top w:w="15" w:type="dxa"/>
              <w:left w:w="15" w:type="dxa"/>
              <w:right w:w="15" w:type="dxa"/>
            </w:tcMar>
            <w:vAlign w:val="bottom"/>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5.31</w:t>
            </w:r>
          </w:p>
        </w:tc>
      </w:tr>
      <w:tr>
        <w:tblPrEx>
          <w:tblBorders>
            <w:top w:val="single" w:color="auto" w:sz="12"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2736" w:type="dxa"/>
            <w:tcBorders>
              <w:top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理塘县</w:t>
            </w:r>
          </w:p>
        </w:tc>
        <w:tc>
          <w:tcPr>
            <w:tcW w:w="2786" w:type="dxa"/>
            <w:tcBorders>
              <w:top w:val="nil"/>
              <w:left w:val="single" w:color="auto" w:sz="4" w:space="0"/>
              <w:bottom w:val="nil"/>
              <w:right w:val="nil"/>
            </w:tcBorders>
            <w:shd w:val="clear" w:color="auto" w:fill="auto"/>
            <w:tcMar>
              <w:top w:w="15" w:type="dxa"/>
              <w:left w:w="15" w:type="dxa"/>
              <w:right w:w="15" w:type="dxa"/>
            </w:tcMar>
            <w:vAlign w:val="bottom"/>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5.70</w:t>
            </w:r>
          </w:p>
        </w:tc>
      </w:tr>
      <w:tr>
        <w:tblPrEx>
          <w:tblBorders>
            <w:top w:val="single" w:color="auto" w:sz="12"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2736" w:type="dxa"/>
            <w:tcBorders>
              <w:top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巴塘县</w:t>
            </w:r>
          </w:p>
        </w:tc>
        <w:tc>
          <w:tcPr>
            <w:tcW w:w="2786" w:type="dxa"/>
            <w:tcBorders>
              <w:top w:val="nil"/>
              <w:left w:val="single" w:color="auto" w:sz="4" w:space="0"/>
              <w:bottom w:val="nil"/>
              <w:right w:val="nil"/>
            </w:tcBorders>
            <w:shd w:val="clear" w:color="auto" w:fill="auto"/>
            <w:tcMar>
              <w:top w:w="15" w:type="dxa"/>
              <w:left w:w="15" w:type="dxa"/>
              <w:right w:w="15" w:type="dxa"/>
            </w:tcMar>
            <w:vAlign w:val="bottom"/>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6.13</w:t>
            </w:r>
          </w:p>
        </w:tc>
      </w:tr>
      <w:tr>
        <w:tblPrEx>
          <w:tblBorders>
            <w:top w:val="single" w:color="auto" w:sz="12"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2736" w:type="dxa"/>
            <w:tcBorders>
              <w:top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乡城县</w:t>
            </w:r>
          </w:p>
        </w:tc>
        <w:tc>
          <w:tcPr>
            <w:tcW w:w="2786" w:type="dxa"/>
            <w:tcBorders>
              <w:top w:val="nil"/>
              <w:left w:val="single" w:color="auto" w:sz="4" w:space="0"/>
              <w:bottom w:val="nil"/>
              <w:right w:val="nil"/>
            </w:tcBorders>
            <w:shd w:val="clear" w:color="auto" w:fill="auto"/>
            <w:tcMar>
              <w:top w:w="15" w:type="dxa"/>
              <w:left w:w="15" w:type="dxa"/>
              <w:right w:w="15" w:type="dxa"/>
            </w:tcMar>
            <w:vAlign w:val="bottom"/>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7.27</w:t>
            </w:r>
          </w:p>
        </w:tc>
      </w:tr>
      <w:tr>
        <w:tblPrEx>
          <w:tblBorders>
            <w:top w:val="single" w:color="auto" w:sz="12"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2736" w:type="dxa"/>
            <w:tcBorders>
              <w:top w:val="nil"/>
              <w:bottom w:val="nil"/>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稻城县</w:t>
            </w:r>
          </w:p>
        </w:tc>
        <w:tc>
          <w:tcPr>
            <w:tcW w:w="2786" w:type="dxa"/>
            <w:tcBorders>
              <w:top w:val="nil"/>
              <w:left w:val="single" w:color="auto" w:sz="4" w:space="0"/>
              <w:bottom w:val="nil"/>
              <w:right w:val="nil"/>
            </w:tcBorders>
            <w:shd w:val="clear" w:color="auto" w:fill="auto"/>
            <w:tcMar>
              <w:top w:w="15" w:type="dxa"/>
              <w:left w:w="15" w:type="dxa"/>
              <w:right w:w="15" w:type="dxa"/>
            </w:tcMar>
            <w:vAlign w:val="bottom"/>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7.61</w:t>
            </w:r>
          </w:p>
        </w:tc>
      </w:tr>
      <w:tr>
        <w:tblPrEx>
          <w:tblBorders>
            <w:top w:val="single" w:color="auto" w:sz="12"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454" w:hRule="exact"/>
          <w:jc w:val="center"/>
        </w:trPr>
        <w:tc>
          <w:tcPr>
            <w:tcW w:w="2736" w:type="dxa"/>
            <w:tcBorders>
              <w:top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bottom"/>
              <w:rPr>
                <w:rFonts w:asciiTheme="minorEastAsia" w:hAnsiTheme="minorEastAsia" w:eastAsiaTheme="minorEastAsia" w:cstheme="minorEastAsia"/>
                <w:color w:val="000000"/>
                <w:sz w:val="22"/>
              </w:rPr>
            </w:pPr>
            <w:r>
              <w:rPr>
                <w:rFonts w:hint="eastAsia" w:asciiTheme="minorEastAsia" w:hAnsiTheme="minorEastAsia" w:eastAsiaTheme="minorEastAsia" w:cstheme="minorEastAsia"/>
                <w:color w:val="000000"/>
                <w:kern w:val="0"/>
                <w:sz w:val="22"/>
                <w:lang w:bidi="ar"/>
              </w:rPr>
              <w:t>得荣县</w:t>
            </w:r>
          </w:p>
        </w:tc>
        <w:tc>
          <w:tcPr>
            <w:tcW w:w="2786" w:type="dxa"/>
            <w:tcBorders>
              <w:top w:val="nil"/>
              <w:left w:val="single" w:color="auto" w:sz="4" w:space="0"/>
              <w:bottom w:val="single" w:color="auto" w:sz="4" w:space="0"/>
              <w:right w:val="nil"/>
            </w:tcBorders>
            <w:shd w:val="clear" w:color="auto" w:fill="auto"/>
            <w:tcMar>
              <w:top w:w="15" w:type="dxa"/>
              <w:left w:w="15" w:type="dxa"/>
              <w:right w:w="15" w:type="dxa"/>
            </w:tcMar>
            <w:vAlign w:val="bottom"/>
          </w:tcPr>
          <w:p>
            <w:pPr>
              <w:widowControl/>
              <w:jc w:val="center"/>
              <w:textAlignment w:val="bottom"/>
              <w:rPr>
                <w:rFonts w:asciiTheme="minorEastAsia" w:hAnsiTheme="minorEastAsia" w:eastAsiaTheme="minorEastAsia" w:cstheme="minorEastAsia"/>
                <w:color w:val="000000"/>
                <w:kern w:val="0"/>
                <w:sz w:val="22"/>
                <w:lang w:bidi="ar"/>
              </w:rPr>
            </w:pPr>
            <w:r>
              <w:rPr>
                <w:rFonts w:hint="eastAsia" w:asciiTheme="minorEastAsia" w:hAnsiTheme="minorEastAsia" w:eastAsiaTheme="minorEastAsia" w:cstheme="minorEastAsia"/>
                <w:color w:val="000000"/>
                <w:kern w:val="0"/>
                <w:sz w:val="22"/>
                <w:lang w:bidi="ar"/>
              </w:rPr>
              <w:t>6.32</w:t>
            </w:r>
          </w:p>
        </w:tc>
      </w:tr>
    </w:tbl>
    <w:p>
      <w:pPr>
        <w:spacing w:line="60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三、</w:t>
      </w:r>
      <w:r>
        <w:rPr>
          <w:rFonts w:ascii="黑体" w:hAnsi="黑体" w:eastAsia="黑体" w:cs="仿宋_GB2312"/>
          <w:sz w:val="32"/>
          <w:szCs w:val="32"/>
        </w:rPr>
        <w:t>文盲人口</w:t>
      </w:r>
    </w:p>
    <w:p>
      <w:pPr>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全州常住人口中，文盲人口（15岁及以上不识字的人）为</w:t>
      </w:r>
      <w:r>
        <w:rPr>
          <w:rFonts w:hint="eastAsia" w:ascii="仿宋_GB2312" w:hAnsi="宋体" w:eastAsia="仿宋_GB2312"/>
          <w:spacing w:val="8"/>
          <w:sz w:val="32"/>
          <w:szCs w:val="32"/>
        </w:rPr>
        <w:t>201883</w:t>
      </w:r>
      <w:r>
        <w:rPr>
          <w:rFonts w:hint="eastAsia" w:ascii="仿宋_GB2312" w:hAnsi="仿宋" w:eastAsia="仿宋_GB2312" w:cs="仿宋_GB2312"/>
          <w:sz w:val="32"/>
          <w:szCs w:val="32"/>
        </w:rPr>
        <w:t xml:space="preserve">人，与2010年第六次全国人口普查相比，文盲人口减少 </w:t>
      </w:r>
      <w:r>
        <w:rPr>
          <w:rFonts w:ascii="仿宋_GB2312" w:hAnsi="仿宋" w:eastAsia="仿宋_GB2312" w:cs="仿宋_GB2312"/>
          <w:sz w:val="32"/>
          <w:szCs w:val="32"/>
          <w:lang w:val="en"/>
        </w:rPr>
        <w:t>51112</w:t>
      </w:r>
      <w:r>
        <w:rPr>
          <w:rFonts w:hint="eastAsia" w:ascii="仿宋_GB2312" w:hAnsi="仿宋" w:eastAsia="仿宋_GB2312" w:cs="仿宋_GB2312"/>
          <w:sz w:val="32"/>
          <w:szCs w:val="32"/>
        </w:rPr>
        <w:t>人，文盲率</w:t>
      </w:r>
      <w:r>
        <w:rPr>
          <w:rFonts w:hint="eastAsia" w:ascii="仿宋_GB2312" w:hAnsi="仿宋" w:eastAsia="仿宋_GB2312" w:cs="仿宋_GB2312"/>
          <w:sz w:val="32"/>
          <w:szCs w:val="32"/>
          <w:vertAlign w:val="superscript"/>
        </w:rPr>
        <w:t>[4]</w:t>
      </w:r>
      <w:r>
        <w:rPr>
          <w:rFonts w:hint="eastAsia" w:ascii="仿宋_GB2312" w:hAnsi="仿宋" w:eastAsia="仿宋_GB2312" w:cs="仿宋_GB2312"/>
          <w:sz w:val="32"/>
          <w:szCs w:val="32"/>
        </w:rPr>
        <w:t>由23.17</w:t>
      </w:r>
      <w:r>
        <w:rPr>
          <w:rFonts w:ascii="仿宋_GB2312" w:hAnsi="仿宋" w:eastAsia="仿宋_GB2312" w:cs="仿宋_GB2312"/>
          <w:sz w:val="32"/>
          <w:szCs w:val="32"/>
          <w:lang w:val="en"/>
        </w:rPr>
        <w:t>%</w:t>
      </w:r>
      <w:r>
        <w:rPr>
          <w:rFonts w:hint="eastAsia" w:ascii="仿宋_GB2312" w:hAnsi="仿宋" w:eastAsia="仿宋_GB2312" w:cs="仿宋_GB2312"/>
          <w:sz w:val="32"/>
          <w:szCs w:val="32"/>
        </w:rPr>
        <w:t>下降为 18.23 %，</w:t>
      </w:r>
      <w:r>
        <w:rPr>
          <w:rFonts w:hint="eastAsia" w:ascii="仿宋_GB2312" w:hAnsi="宋体" w:eastAsia="仿宋_GB2312"/>
          <w:spacing w:val="8"/>
          <w:sz w:val="32"/>
          <w:szCs w:val="32"/>
        </w:rPr>
        <w:t>下降4.94</w:t>
      </w:r>
      <w:r>
        <w:rPr>
          <w:rFonts w:hint="eastAsia" w:ascii="仿宋_GB2312" w:hAnsi="仿宋" w:eastAsia="仿宋_GB2312" w:cs="仿宋_GB2312"/>
          <w:sz w:val="32"/>
          <w:szCs w:val="32"/>
        </w:rPr>
        <w:t>个百分点。</w:t>
      </w:r>
    </w:p>
    <w:p>
      <w:pPr>
        <w:spacing w:line="600" w:lineRule="exact"/>
        <w:ind w:firstLine="640"/>
        <w:rPr>
          <w:rFonts w:ascii="仿宋" w:hAnsi="仿宋" w:eastAsia="仿宋" w:cs="仿宋"/>
          <w:sz w:val="32"/>
          <w:szCs w:val="40"/>
        </w:rPr>
      </w:pPr>
    </w:p>
    <w:p>
      <w:pPr>
        <w:widowControl/>
        <w:spacing w:line="360" w:lineRule="auto"/>
        <w:ind w:firstLine="480" w:firstLineChars="200"/>
        <w:rPr>
          <w:rFonts w:ascii="楷体_GB2312" w:hAnsi="宋体" w:eastAsia="楷体_GB2312" w:cs="宋体"/>
          <w:kern w:val="0"/>
          <w:sz w:val="24"/>
          <w:szCs w:val="30"/>
        </w:rPr>
      </w:pPr>
      <w:r>
        <w:rPr>
          <w:rFonts w:hint="eastAsia" w:ascii="楷体_GB2312" w:hAnsi="宋体" w:eastAsia="楷体_GB2312" w:cs="宋体"/>
          <w:kern w:val="0"/>
          <w:sz w:val="24"/>
          <w:szCs w:val="30"/>
        </w:rPr>
        <w:t>注释：</w:t>
      </w:r>
    </w:p>
    <w:p>
      <w:pPr>
        <w:widowControl/>
        <w:spacing w:line="360" w:lineRule="auto"/>
        <w:ind w:firstLine="480" w:firstLineChars="200"/>
        <w:rPr>
          <w:rFonts w:ascii="楷体_GB2312" w:hAnsi="宋体" w:eastAsia="楷体_GB2312" w:cs="宋体"/>
          <w:kern w:val="0"/>
          <w:sz w:val="24"/>
          <w:szCs w:val="30"/>
        </w:rPr>
      </w:pPr>
      <w:r>
        <w:rPr>
          <w:rFonts w:hint="eastAsia" w:ascii="楷体_GB2312" w:hAnsi="宋体" w:eastAsia="楷体_GB2312" w:cs="宋体"/>
          <w:kern w:val="0"/>
          <w:sz w:val="24"/>
          <w:szCs w:val="30"/>
        </w:rPr>
        <w:t>[1]本公报中数据均为初步汇总数。</w:t>
      </w:r>
    </w:p>
    <w:p>
      <w:pPr>
        <w:widowControl/>
        <w:spacing w:line="360" w:lineRule="auto"/>
        <w:ind w:firstLine="480" w:firstLineChars="200"/>
        <w:rPr>
          <w:rFonts w:ascii="楷体_GB2312" w:hAnsi="楷体_GB2312" w:eastAsia="楷体_GB2312" w:cs="楷体_GB2312"/>
          <w:kern w:val="0"/>
          <w:sz w:val="24"/>
          <w:szCs w:val="24"/>
        </w:rPr>
      </w:pPr>
      <w:r>
        <w:rPr>
          <w:rFonts w:hint="eastAsia" w:ascii="楷体_GB2312" w:hAnsi="宋体" w:eastAsia="楷体_GB2312" w:cs="宋体"/>
          <w:kern w:val="0"/>
          <w:sz w:val="24"/>
          <w:szCs w:val="30"/>
        </w:rPr>
        <w:t>[2]全州常住人口是</w:t>
      </w:r>
      <w:r>
        <w:rPr>
          <w:rFonts w:hint="eastAsia" w:ascii="楷体_GB2312" w:hAnsi="楷体_GB2312" w:eastAsia="楷体_GB2312" w:cs="楷体_GB2312"/>
          <w:kern w:val="0"/>
          <w:sz w:val="24"/>
          <w:szCs w:val="24"/>
        </w:rPr>
        <w:t>包括：居住在本乡镇街道且户口在本乡镇街道或户口待定的人；居住在本乡镇街道且离开户口所在的乡镇街道半年以上的人；户口在本乡镇街道且外出不满半年或在境外工作学习的人。</w:t>
      </w:r>
    </w:p>
    <w:p>
      <w:pPr>
        <w:widowControl/>
        <w:spacing w:line="360" w:lineRule="auto"/>
        <w:ind w:firstLine="480" w:firstLineChars="200"/>
        <w:rPr>
          <w:rFonts w:ascii="楷体_GB2312" w:hAnsi="宋体" w:eastAsia="楷体_GB2312" w:cs="宋体"/>
          <w:kern w:val="0"/>
          <w:sz w:val="24"/>
          <w:szCs w:val="30"/>
        </w:rPr>
      </w:pPr>
      <w:r>
        <w:rPr>
          <w:rFonts w:hint="eastAsia" w:ascii="楷体_GB2312" w:hAnsi="宋体" w:eastAsia="楷体_GB2312" w:cs="宋体"/>
          <w:kern w:val="0"/>
          <w:sz w:val="24"/>
          <w:szCs w:val="30"/>
        </w:rPr>
        <w:t>[3]平均受教育年限是将各种受教育程度折算成受教育年限计算平均数得出的，具体的折算标准是：小学=6年，初中=9年，高中=12年，大专及以上=16年。</w:t>
      </w:r>
    </w:p>
    <w:p>
      <w:pPr>
        <w:spacing w:line="360" w:lineRule="auto"/>
        <w:ind w:firstLine="480" w:firstLineChars="200"/>
        <w:rPr>
          <w:rFonts w:ascii="楷体_GB2312" w:hAnsi="宋体" w:eastAsia="楷体_GB2312" w:cs="宋体"/>
          <w:kern w:val="0"/>
          <w:sz w:val="24"/>
          <w:szCs w:val="24"/>
        </w:rPr>
      </w:pPr>
      <w:r>
        <w:rPr>
          <w:rFonts w:hint="eastAsia" w:ascii="楷体_GB2312" w:hAnsi="宋体" w:eastAsia="楷体_GB2312" w:cs="宋体"/>
          <w:kern w:val="0"/>
          <w:sz w:val="24"/>
          <w:szCs w:val="30"/>
        </w:rPr>
        <w:t>[4]文盲率是指常住人口中15岁及以上不识字人口占常住人口总量的比例。</w:t>
      </w:r>
    </w:p>
    <w:sectPr>
      <w:footerReference r:id="rId3" w:type="default"/>
      <w:type w:val="continuous"/>
      <w:pgSz w:w="11906" w:h="16838"/>
      <w:pgMar w:top="1440" w:right="1797" w:bottom="1440" w:left="179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䡡湄楮札䍓ⵆ潮瑳">
    <w:panose1 w:val="02010609000101010101"/>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91788199"/>
    </w:sdtPr>
    <w:sdtEndPr>
      <w:rPr>
        <w:rFonts w:ascii="宋体" w:hAnsi="宋体"/>
        <w:sz w:val="24"/>
      </w:rPr>
    </w:sdtEndPr>
    <w:sdtContent>
      <w:p>
        <w:pPr>
          <w:pStyle w:val="3"/>
          <w:jc w:val="center"/>
          <w:rPr>
            <w:rFonts w:ascii="宋体" w:hAnsi="宋体"/>
            <w:sz w:val="24"/>
          </w:rPr>
        </w:pPr>
        <w:r>
          <w:rPr>
            <w:rFonts w:ascii="宋体" w:hAnsi="宋体"/>
            <w:sz w:val="24"/>
          </w:rPr>
          <w:fldChar w:fldCharType="begin"/>
        </w:r>
        <w:r>
          <w:rPr>
            <w:rFonts w:ascii="宋体" w:hAnsi="宋体"/>
            <w:sz w:val="24"/>
          </w:rPr>
          <w:instrText xml:space="preserve">PAGE   \* MERGEFORMAT</w:instrText>
        </w:r>
        <w:r>
          <w:rPr>
            <w:rFonts w:ascii="宋体" w:hAnsi="宋体"/>
            <w:sz w:val="24"/>
          </w:rPr>
          <w:fldChar w:fldCharType="separate"/>
        </w:r>
        <w:r>
          <w:rPr>
            <w:rFonts w:ascii="宋体" w:hAnsi="宋体"/>
            <w:sz w:val="24"/>
            <w:lang w:val="zh-CN"/>
          </w:rPr>
          <w:t>-</w:t>
        </w:r>
        <w:r>
          <w:rPr>
            <w:rFonts w:ascii="宋体" w:hAnsi="宋体"/>
            <w:sz w:val="24"/>
          </w:rPr>
          <w:t xml:space="preserve"> 1 -</w:t>
        </w:r>
        <w:r>
          <w:rPr>
            <w:rFonts w:ascii="宋体" w:hAnsi="宋体"/>
            <w:sz w:val="24"/>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6ECD66"/>
    <w:multiLevelType w:val="singleLevel"/>
    <w:tmpl w:val="FD6ECD6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8F6C0D"/>
    <w:rsid w:val="000004FC"/>
    <w:rsid w:val="000102E0"/>
    <w:rsid w:val="000657EC"/>
    <w:rsid w:val="000A20B9"/>
    <w:rsid w:val="000A62B3"/>
    <w:rsid w:val="000C0659"/>
    <w:rsid w:val="000C3BAB"/>
    <w:rsid w:val="000F6A67"/>
    <w:rsid w:val="00106512"/>
    <w:rsid w:val="00123419"/>
    <w:rsid w:val="001251B1"/>
    <w:rsid w:val="00132F07"/>
    <w:rsid w:val="0013482A"/>
    <w:rsid w:val="0015136C"/>
    <w:rsid w:val="00182E92"/>
    <w:rsid w:val="00187F06"/>
    <w:rsid w:val="001B6C38"/>
    <w:rsid w:val="001D778E"/>
    <w:rsid w:val="001E15C7"/>
    <w:rsid w:val="00216F7E"/>
    <w:rsid w:val="00222C0F"/>
    <w:rsid w:val="002313D2"/>
    <w:rsid w:val="00240736"/>
    <w:rsid w:val="002618EC"/>
    <w:rsid w:val="002A56E0"/>
    <w:rsid w:val="002B1FBF"/>
    <w:rsid w:val="002C5EED"/>
    <w:rsid w:val="002C7D09"/>
    <w:rsid w:val="002F04C2"/>
    <w:rsid w:val="00320975"/>
    <w:rsid w:val="00341440"/>
    <w:rsid w:val="00346273"/>
    <w:rsid w:val="00351A9B"/>
    <w:rsid w:val="0035217A"/>
    <w:rsid w:val="00355313"/>
    <w:rsid w:val="003726A7"/>
    <w:rsid w:val="00384C96"/>
    <w:rsid w:val="003922C3"/>
    <w:rsid w:val="003927ED"/>
    <w:rsid w:val="003E02C6"/>
    <w:rsid w:val="003F5882"/>
    <w:rsid w:val="00424ED8"/>
    <w:rsid w:val="00454C28"/>
    <w:rsid w:val="00475A53"/>
    <w:rsid w:val="00477C7F"/>
    <w:rsid w:val="004831A4"/>
    <w:rsid w:val="004A4F53"/>
    <w:rsid w:val="004B07E6"/>
    <w:rsid w:val="004D3016"/>
    <w:rsid w:val="004F284A"/>
    <w:rsid w:val="00501B7B"/>
    <w:rsid w:val="0053754E"/>
    <w:rsid w:val="0056184A"/>
    <w:rsid w:val="005673D1"/>
    <w:rsid w:val="005754FA"/>
    <w:rsid w:val="0058110B"/>
    <w:rsid w:val="00581785"/>
    <w:rsid w:val="00587AD0"/>
    <w:rsid w:val="00593E53"/>
    <w:rsid w:val="005941FD"/>
    <w:rsid w:val="005A1DCA"/>
    <w:rsid w:val="005A5996"/>
    <w:rsid w:val="005B4AF2"/>
    <w:rsid w:val="005C5E82"/>
    <w:rsid w:val="005D566F"/>
    <w:rsid w:val="005D5F63"/>
    <w:rsid w:val="005E4822"/>
    <w:rsid w:val="005E54EB"/>
    <w:rsid w:val="005E7D23"/>
    <w:rsid w:val="006023D6"/>
    <w:rsid w:val="00606E5B"/>
    <w:rsid w:val="00610671"/>
    <w:rsid w:val="00617778"/>
    <w:rsid w:val="00635BF8"/>
    <w:rsid w:val="00642403"/>
    <w:rsid w:val="00647838"/>
    <w:rsid w:val="00647ADA"/>
    <w:rsid w:val="006507C6"/>
    <w:rsid w:val="00653B3B"/>
    <w:rsid w:val="00664370"/>
    <w:rsid w:val="00664E2F"/>
    <w:rsid w:val="00682389"/>
    <w:rsid w:val="006D436A"/>
    <w:rsid w:val="007016E8"/>
    <w:rsid w:val="00707225"/>
    <w:rsid w:val="007143DF"/>
    <w:rsid w:val="00720344"/>
    <w:rsid w:val="00772E9C"/>
    <w:rsid w:val="00773FE0"/>
    <w:rsid w:val="007A44C7"/>
    <w:rsid w:val="007C40E8"/>
    <w:rsid w:val="007D0223"/>
    <w:rsid w:val="007D2B0B"/>
    <w:rsid w:val="00815139"/>
    <w:rsid w:val="00852E22"/>
    <w:rsid w:val="00860887"/>
    <w:rsid w:val="00864413"/>
    <w:rsid w:val="00887FF6"/>
    <w:rsid w:val="008919C5"/>
    <w:rsid w:val="008A7816"/>
    <w:rsid w:val="008C770A"/>
    <w:rsid w:val="008D3816"/>
    <w:rsid w:val="008E0CF5"/>
    <w:rsid w:val="008E2745"/>
    <w:rsid w:val="00926B21"/>
    <w:rsid w:val="0093269D"/>
    <w:rsid w:val="009335EA"/>
    <w:rsid w:val="00936DCF"/>
    <w:rsid w:val="00951F0E"/>
    <w:rsid w:val="00952C24"/>
    <w:rsid w:val="00956CDD"/>
    <w:rsid w:val="00961E94"/>
    <w:rsid w:val="00964B3C"/>
    <w:rsid w:val="0098366A"/>
    <w:rsid w:val="00991A00"/>
    <w:rsid w:val="009B47EB"/>
    <w:rsid w:val="009C22BA"/>
    <w:rsid w:val="009C7A6A"/>
    <w:rsid w:val="009D22FD"/>
    <w:rsid w:val="009F0F6D"/>
    <w:rsid w:val="009F7C3C"/>
    <w:rsid w:val="00A16F2D"/>
    <w:rsid w:val="00A30C0F"/>
    <w:rsid w:val="00A42A3A"/>
    <w:rsid w:val="00A45214"/>
    <w:rsid w:val="00A65E1B"/>
    <w:rsid w:val="00A805C5"/>
    <w:rsid w:val="00A904E9"/>
    <w:rsid w:val="00A93D78"/>
    <w:rsid w:val="00AA1718"/>
    <w:rsid w:val="00AA4FBD"/>
    <w:rsid w:val="00AA7E7B"/>
    <w:rsid w:val="00AC4A82"/>
    <w:rsid w:val="00AF1028"/>
    <w:rsid w:val="00B10E91"/>
    <w:rsid w:val="00B63298"/>
    <w:rsid w:val="00B86466"/>
    <w:rsid w:val="00BA1EE0"/>
    <w:rsid w:val="00BB029D"/>
    <w:rsid w:val="00BC40A2"/>
    <w:rsid w:val="00BD70E9"/>
    <w:rsid w:val="00BF5B92"/>
    <w:rsid w:val="00C11962"/>
    <w:rsid w:val="00C46D3B"/>
    <w:rsid w:val="00C67235"/>
    <w:rsid w:val="00CB54B5"/>
    <w:rsid w:val="00CB7099"/>
    <w:rsid w:val="00CC5588"/>
    <w:rsid w:val="00CD1218"/>
    <w:rsid w:val="00CE203F"/>
    <w:rsid w:val="00CE4DBC"/>
    <w:rsid w:val="00CF084F"/>
    <w:rsid w:val="00CF6CF6"/>
    <w:rsid w:val="00CF76F6"/>
    <w:rsid w:val="00D02F0D"/>
    <w:rsid w:val="00D15951"/>
    <w:rsid w:val="00D17469"/>
    <w:rsid w:val="00D208BD"/>
    <w:rsid w:val="00D272BB"/>
    <w:rsid w:val="00D373C6"/>
    <w:rsid w:val="00D42F6D"/>
    <w:rsid w:val="00D47382"/>
    <w:rsid w:val="00D579DD"/>
    <w:rsid w:val="00D86007"/>
    <w:rsid w:val="00D961F0"/>
    <w:rsid w:val="00DB68AC"/>
    <w:rsid w:val="00DB7641"/>
    <w:rsid w:val="00DE6475"/>
    <w:rsid w:val="00DF4054"/>
    <w:rsid w:val="00DF6CD4"/>
    <w:rsid w:val="00E04B34"/>
    <w:rsid w:val="00E176B2"/>
    <w:rsid w:val="00E20DCA"/>
    <w:rsid w:val="00E213D0"/>
    <w:rsid w:val="00E51248"/>
    <w:rsid w:val="00E52812"/>
    <w:rsid w:val="00E81EF5"/>
    <w:rsid w:val="00E86AEB"/>
    <w:rsid w:val="00ED1242"/>
    <w:rsid w:val="00EE4904"/>
    <w:rsid w:val="00EE540D"/>
    <w:rsid w:val="00F11DFB"/>
    <w:rsid w:val="00F1417F"/>
    <w:rsid w:val="00F23908"/>
    <w:rsid w:val="00F32330"/>
    <w:rsid w:val="00F32636"/>
    <w:rsid w:val="00F44A53"/>
    <w:rsid w:val="00F50DB4"/>
    <w:rsid w:val="00F52F08"/>
    <w:rsid w:val="00F609C1"/>
    <w:rsid w:val="00F815BB"/>
    <w:rsid w:val="00F94746"/>
    <w:rsid w:val="00FB1372"/>
    <w:rsid w:val="00FC6D65"/>
    <w:rsid w:val="00FD061C"/>
    <w:rsid w:val="00FD0711"/>
    <w:rsid w:val="00FD627A"/>
    <w:rsid w:val="00FE609D"/>
    <w:rsid w:val="00FF4DEA"/>
    <w:rsid w:val="01FE6511"/>
    <w:rsid w:val="049A45EB"/>
    <w:rsid w:val="0A4B5F5E"/>
    <w:rsid w:val="0F93C465"/>
    <w:rsid w:val="198D757E"/>
    <w:rsid w:val="1CAE07AA"/>
    <w:rsid w:val="1DE3611F"/>
    <w:rsid w:val="1DEFE321"/>
    <w:rsid w:val="1E8F6C0D"/>
    <w:rsid w:val="21076927"/>
    <w:rsid w:val="24E5399B"/>
    <w:rsid w:val="262F6BDB"/>
    <w:rsid w:val="26792EDB"/>
    <w:rsid w:val="26D54878"/>
    <w:rsid w:val="2749339A"/>
    <w:rsid w:val="2B8D59C8"/>
    <w:rsid w:val="2CFDC487"/>
    <w:rsid w:val="2EF3DCE9"/>
    <w:rsid w:val="314E608A"/>
    <w:rsid w:val="33D57A0A"/>
    <w:rsid w:val="37F3F22C"/>
    <w:rsid w:val="37FB4221"/>
    <w:rsid w:val="37FFAEC9"/>
    <w:rsid w:val="3E185EDD"/>
    <w:rsid w:val="3EFF7D73"/>
    <w:rsid w:val="3F843D1D"/>
    <w:rsid w:val="3FDF8503"/>
    <w:rsid w:val="3FE6F950"/>
    <w:rsid w:val="3FFE05E5"/>
    <w:rsid w:val="42FF9553"/>
    <w:rsid w:val="43FF7A71"/>
    <w:rsid w:val="46D46935"/>
    <w:rsid w:val="477E2F2B"/>
    <w:rsid w:val="479D3A3E"/>
    <w:rsid w:val="47EBB1C2"/>
    <w:rsid w:val="47FF4A11"/>
    <w:rsid w:val="49861283"/>
    <w:rsid w:val="49EB0EE5"/>
    <w:rsid w:val="4B1929FE"/>
    <w:rsid w:val="4BCB3517"/>
    <w:rsid w:val="4DD4069B"/>
    <w:rsid w:val="4F332217"/>
    <w:rsid w:val="517F3AB1"/>
    <w:rsid w:val="55F74E9A"/>
    <w:rsid w:val="57DBDBD7"/>
    <w:rsid w:val="5D7FA0AF"/>
    <w:rsid w:val="5DFFE2EC"/>
    <w:rsid w:val="5F3F23C1"/>
    <w:rsid w:val="5F412D92"/>
    <w:rsid w:val="5F66A9B3"/>
    <w:rsid w:val="5FA04880"/>
    <w:rsid w:val="5FBF5D3D"/>
    <w:rsid w:val="5FEE08C5"/>
    <w:rsid w:val="5FFEEBD6"/>
    <w:rsid w:val="5FFFE21E"/>
    <w:rsid w:val="607A3DE2"/>
    <w:rsid w:val="64611E0A"/>
    <w:rsid w:val="65366D02"/>
    <w:rsid w:val="65D70C16"/>
    <w:rsid w:val="676633E0"/>
    <w:rsid w:val="67FB6234"/>
    <w:rsid w:val="6BCEB42A"/>
    <w:rsid w:val="6D7A27EA"/>
    <w:rsid w:val="6EB7754A"/>
    <w:rsid w:val="6EF7A362"/>
    <w:rsid w:val="6FDB674A"/>
    <w:rsid w:val="6FEF175F"/>
    <w:rsid w:val="70255325"/>
    <w:rsid w:val="74E134F8"/>
    <w:rsid w:val="75F78869"/>
    <w:rsid w:val="75FD0748"/>
    <w:rsid w:val="765E9982"/>
    <w:rsid w:val="76EA043F"/>
    <w:rsid w:val="76EBB9A1"/>
    <w:rsid w:val="77770636"/>
    <w:rsid w:val="77BB3FE5"/>
    <w:rsid w:val="77FF89B4"/>
    <w:rsid w:val="7A671F8E"/>
    <w:rsid w:val="7A6747B5"/>
    <w:rsid w:val="7B4E04BE"/>
    <w:rsid w:val="7B6F942F"/>
    <w:rsid w:val="7B9E008E"/>
    <w:rsid w:val="7BDB5CEC"/>
    <w:rsid w:val="7BEF2C8D"/>
    <w:rsid w:val="7BFB8712"/>
    <w:rsid w:val="7D4ED5F5"/>
    <w:rsid w:val="7D7F81A4"/>
    <w:rsid w:val="7EBD378F"/>
    <w:rsid w:val="7EFF1D9E"/>
    <w:rsid w:val="7F1BFC43"/>
    <w:rsid w:val="7F7708B1"/>
    <w:rsid w:val="7F778B27"/>
    <w:rsid w:val="7F9BBCC3"/>
    <w:rsid w:val="7FBD743E"/>
    <w:rsid w:val="7FD772C7"/>
    <w:rsid w:val="7FD9AD00"/>
    <w:rsid w:val="7FEE9560"/>
    <w:rsid w:val="7FF7B349"/>
    <w:rsid w:val="7FFFE613"/>
    <w:rsid w:val="93FFF06C"/>
    <w:rsid w:val="A0672FA3"/>
    <w:rsid w:val="A0DF3076"/>
    <w:rsid w:val="A7ECDD8A"/>
    <w:rsid w:val="AD7F9021"/>
    <w:rsid w:val="ADB95031"/>
    <w:rsid w:val="ADF7CA72"/>
    <w:rsid w:val="B2CB9BB5"/>
    <w:rsid w:val="B5DD5F19"/>
    <w:rsid w:val="B6C7BA3B"/>
    <w:rsid w:val="B8FBF102"/>
    <w:rsid w:val="B9FED238"/>
    <w:rsid w:val="BB3D2D91"/>
    <w:rsid w:val="BCBFC1ED"/>
    <w:rsid w:val="BE973063"/>
    <w:rsid w:val="BF3F5303"/>
    <w:rsid w:val="BF7354AF"/>
    <w:rsid w:val="BFDFBA5C"/>
    <w:rsid w:val="BFFB221C"/>
    <w:rsid w:val="C33EECC1"/>
    <w:rsid w:val="CDBE40D1"/>
    <w:rsid w:val="CFD32C7B"/>
    <w:rsid w:val="CFDD2874"/>
    <w:rsid w:val="CFFFFC06"/>
    <w:rsid w:val="D7CDF991"/>
    <w:rsid w:val="DBFE78D2"/>
    <w:rsid w:val="DDDEA1B6"/>
    <w:rsid w:val="DEF98F38"/>
    <w:rsid w:val="DFDC82ED"/>
    <w:rsid w:val="DFDF8ECA"/>
    <w:rsid w:val="DFFBF1BB"/>
    <w:rsid w:val="E797E958"/>
    <w:rsid w:val="E9DFF9AE"/>
    <w:rsid w:val="EAFF4369"/>
    <w:rsid w:val="EBED9187"/>
    <w:rsid w:val="EEBFF618"/>
    <w:rsid w:val="EF3FE82C"/>
    <w:rsid w:val="EFF12830"/>
    <w:rsid w:val="EFFD1240"/>
    <w:rsid w:val="F3D709AD"/>
    <w:rsid w:val="F5DFB938"/>
    <w:rsid w:val="F6FF4E0E"/>
    <w:rsid w:val="F70EC7C4"/>
    <w:rsid w:val="F77B75D9"/>
    <w:rsid w:val="F77F3B16"/>
    <w:rsid w:val="F7BB05DA"/>
    <w:rsid w:val="F7FDE9DC"/>
    <w:rsid w:val="F7FFA9EB"/>
    <w:rsid w:val="F9BAF39D"/>
    <w:rsid w:val="FB6221CA"/>
    <w:rsid w:val="FB9CCAF2"/>
    <w:rsid w:val="FCAEB1E9"/>
    <w:rsid w:val="FCF50B77"/>
    <w:rsid w:val="FDFDA5D7"/>
    <w:rsid w:val="FEEE091B"/>
    <w:rsid w:val="FEEF95CB"/>
    <w:rsid w:val="FF9F5EE2"/>
    <w:rsid w:val="FFCE610F"/>
    <w:rsid w:val="FFDFA098"/>
    <w:rsid w:val="FFEFB120"/>
    <w:rsid w:val="FFF77F61"/>
    <w:rsid w:val="FFFF0F4E"/>
    <w:rsid w:val="FFFFD76C"/>
    <w:rsid w:val="FFFFF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font11"/>
    <w:basedOn w:val="6"/>
    <w:qFormat/>
    <w:uiPriority w:val="0"/>
    <w:rPr>
      <w:rFonts w:hint="eastAsia" w:ascii="仿宋" w:hAnsi="仿宋" w:eastAsia="仿宋" w:cs="仿宋"/>
      <w:color w:val="000000"/>
      <w:sz w:val="24"/>
      <w:szCs w:val="24"/>
      <w:u w:val="none"/>
      <w:vertAlign w:val="superscript"/>
    </w:rPr>
  </w:style>
  <w:style w:type="paragraph" w:styleId="8">
    <w:name w:val="List Paragraph"/>
    <w:basedOn w:val="1"/>
    <w:qFormat/>
    <w:uiPriority w:val="99"/>
    <w:pPr>
      <w:ind w:firstLine="420" w:firstLineChars="200"/>
    </w:pPr>
  </w:style>
  <w:style w:type="character" w:customStyle="1" w:styleId="9">
    <w:name w:val="批注框文本 字符"/>
    <w:basedOn w:val="6"/>
    <w:link w:val="2"/>
    <w:qFormat/>
    <w:uiPriority w:val="0"/>
    <w:rPr>
      <w:rFonts w:ascii="Calibri" w:hAnsi="Calibri"/>
      <w:kern w:val="2"/>
      <w:sz w:val="18"/>
      <w:szCs w:val="18"/>
    </w:rPr>
  </w:style>
  <w:style w:type="character" w:customStyle="1" w:styleId="10">
    <w:name w:val="页眉 字符"/>
    <w:basedOn w:val="6"/>
    <w:link w:val="4"/>
    <w:qFormat/>
    <w:uiPriority w:val="99"/>
    <w:rPr>
      <w:rFonts w:ascii="Calibri" w:hAnsi="Calibri"/>
      <w:kern w:val="2"/>
      <w:sz w:val="18"/>
      <w:szCs w:val="18"/>
    </w:rPr>
  </w:style>
  <w:style w:type="character" w:customStyle="1" w:styleId="11">
    <w:name w:val="页脚 字符"/>
    <w:basedOn w:val="6"/>
    <w:link w:val="3"/>
    <w:qFormat/>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国家统计局</Company>
  <Pages>4</Pages>
  <Words>252</Words>
  <Characters>1440</Characters>
  <Lines>12</Lines>
  <Paragraphs>3</Paragraphs>
  <TotalTime>7</TotalTime>
  <ScaleCrop>false</ScaleCrop>
  <LinksUpToDate>false</LinksUpToDate>
  <CharactersWithSpaces>1689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2021-02-20T14:31:00Z</dcterms:created>
  <dc:creator>rks</dc:creator>
  <cp:lastModifiedBy>uos</cp:lastModifiedBy>
  <cp:lastPrinted>2021-05-18T05:10:00Z</cp:lastPrinted>
  <dcterms:modified xsi:type="dcterms:W3CDTF">2021-06-08T11:32:39Z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